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DAE" w:rsidRDefault="00910DAE" w:rsidP="00910DAE"/>
    <w:p w:rsidR="00537A0F" w:rsidRPr="00855BB8" w:rsidRDefault="00537A0F" w:rsidP="00537A0F">
      <w:pPr>
        <w:spacing w:line="276" w:lineRule="auto"/>
        <w:jc w:val="center"/>
        <w:rPr>
          <w:rFonts w:ascii="Palatino Linotype" w:hAnsi="Palatino Linotype"/>
          <w:b/>
          <w:sz w:val="24"/>
          <w:szCs w:val="24"/>
          <w:u w:val="single"/>
        </w:rPr>
      </w:pPr>
      <w:r w:rsidRPr="00855BB8">
        <w:rPr>
          <w:rFonts w:ascii="Palatino Linotype" w:hAnsi="Palatino Linotype"/>
          <w:b/>
          <w:sz w:val="24"/>
          <w:szCs w:val="24"/>
          <w:u w:val="single"/>
        </w:rPr>
        <w:t xml:space="preserve">INFORMÁCIA O SPRACÚVANÍ OSOBNÝCH ÚDAJOV PRE DOTKNUTÉ OSOBY </w:t>
      </w:r>
    </w:p>
    <w:p w:rsidR="00910DAE" w:rsidRPr="006A0167" w:rsidRDefault="00855BB8" w:rsidP="00910DAE">
      <w:pPr>
        <w:jc w:val="center"/>
        <w:rPr>
          <w:rFonts w:ascii="Palatino Linotype" w:hAnsi="Palatino Linotype"/>
          <w:b/>
          <w:sz w:val="28"/>
          <w:szCs w:val="28"/>
          <w:u w:val="single"/>
        </w:rPr>
      </w:pPr>
      <w:r w:rsidRPr="00855BB8">
        <w:rPr>
          <w:rFonts w:ascii="Palatino Linotype" w:hAnsi="Palatino Linotype"/>
          <w:b/>
          <w:sz w:val="24"/>
          <w:szCs w:val="24"/>
          <w:u w:val="single"/>
        </w:rPr>
        <w:t>OVEROVANIE PODPISOV</w:t>
      </w:r>
    </w:p>
    <w:p w:rsidR="00855BB8" w:rsidRDefault="00855BB8" w:rsidP="00537A0F">
      <w:pPr>
        <w:spacing w:line="276" w:lineRule="auto"/>
        <w:jc w:val="center"/>
        <w:rPr>
          <w:sz w:val="24"/>
          <w:szCs w:val="24"/>
        </w:rPr>
      </w:pPr>
    </w:p>
    <w:p w:rsidR="00537A0F" w:rsidRPr="00855BB8" w:rsidRDefault="00537A0F" w:rsidP="00537A0F">
      <w:pPr>
        <w:spacing w:line="276" w:lineRule="auto"/>
        <w:jc w:val="center"/>
        <w:rPr>
          <w:rFonts w:ascii="Palatino Linotype" w:hAnsi="Palatino Linotype"/>
        </w:rPr>
      </w:pPr>
      <w:r w:rsidRPr="00855BB8">
        <w:rPr>
          <w:rFonts w:ascii="Palatino Linotype" w:hAnsi="Palatino Linotype"/>
        </w:rPr>
        <w:t>podľa čl. 13 Nariadenia Európskeho parlamentu a rady (EU) 2016/679 o ochrane fyzických osôb pri spracúvaní osobných údajov a o voľnom pohybe takýchto údajov</w:t>
      </w:r>
    </w:p>
    <w:p w:rsidR="00537A0F" w:rsidRPr="00855BB8" w:rsidRDefault="00537A0F" w:rsidP="00537A0F">
      <w:pPr>
        <w:spacing w:line="276" w:lineRule="auto"/>
        <w:jc w:val="center"/>
        <w:rPr>
          <w:rFonts w:ascii="Palatino Linotype" w:hAnsi="Palatino Linotype"/>
        </w:rPr>
      </w:pPr>
    </w:p>
    <w:p w:rsidR="00537A0F" w:rsidRPr="00855BB8" w:rsidRDefault="00537A0F" w:rsidP="00855BB8">
      <w:pPr>
        <w:spacing w:line="276" w:lineRule="auto"/>
        <w:ind w:firstLine="708"/>
        <w:jc w:val="both"/>
        <w:rPr>
          <w:rFonts w:ascii="Palatino Linotype" w:hAnsi="Palatino Linotype"/>
          <w:b/>
        </w:rPr>
      </w:pPr>
      <w:r w:rsidRPr="00855BB8">
        <w:rPr>
          <w:rFonts w:ascii="Palatino Linotype" w:hAnsi="Palatino Linotype"/>
          <w:b/>
        </w:rPr>
        <w:t xml:space="preserve">Bezpečnosť Vašich osobných údajov je pre nás veľmi dôležitá, preto s nimi zaobchádzame veľmi starostlivo. Cieľom tejto informácie je poskytnúť Vám informácie o tom, aké osobné údaje o Vás spracúvame na účely </w:t>
      </w:r>
      <w:r w:rsidR="00855BB8" w:rsidRPr="00855BB8">
        <w:rPr>
          <w:rFonts w:ascii="Palatino Linotype" w:hAnsi="Palatino Linotype"/>
          <w:b/>
        </w:rPr>
        <w:t>overovania podpisov</w:t>
      </w:r>
      <w:r w:rsidRPr="00855BB8">
        <w:rPr>
          <w:rFonts w:ascii="Palatino Linotype" w:hAnsi="Palatino Linotype"/>
          <w:b/>
        </w:rPr>
        <w:t>, ako s nimi zaobchádzame, komu ich môžeme poskytnúť, kde môžete získať ďalšie informácie o Vašich osobných údajoch a uplatniť Vaše práva pri spracúvaní osobných údajov.</w:t>
      </w:r>
    </w:p>
    <w:p w:rsidR="00537A0F" w:rsidRPr="00855BB8" w:rsidRDefault="00537A0F" w:rsidP="00537A0F">
      <w:pPr>
        <w:spacing w:line="276" w:lineRule="auto"/>
        <w:jc w:val="both"/>
        <w:rPr>
          <w:rFonts w:ascii="Palatino Linotype" w:hAnsi="Palatino Linotype"/>
          <w:b/>
        </w:rPr>
      </w:pPr>
    </w:p>
    <w:p w:rsidR="00910DAE" w:rsidRDefault="00537A0F" w:rsidP="00855BB8">
      <w:pPr>
        <w:spacing w:line="276" w:lineRule="auto"/>
        <w:ind w:firstLine="708"/>
        <w:jc w:val="both"/>
        <w:rPr>
          <w:rFonts w:ascii="Palatino Linotype" w:hAnsi="Palatino Linotype"/>
        </w:rPr>
      </w:pPr>
      <w:r w:rsidRPr="00855BB8">
        <w:rPr>
          <w:rFonts w:ascii="Palatino Linotype" w:hAnsi="Palatino Linotype"/>
        </w:rPr>
        <w:t xml:space="preserve">Naša </w:t>
      </w:r>
      <w:r w:rsidR="00CE4786">
        <w:rPr>
          <w:rFonts w:ascii="Palatino Linotype" w:hAnsi="Palatino Linotype"/>
        </w:rPr>
        <w:t>obec</w:t>
      </w:r>
      <w:r w:rsidRPr="00855BB8">
        <w:rPr>
          <w:rFonts w:ascii="Palatino Linotype" w:hAnsi="Palatino Linotype"/>
        </w:rPr>
        <w:t xml:space="preserve"> sa zaväzuje spracúvať osobné údaje dotknutých osôb v súlade s Nariadením Európskeho parlamentu a Rady (EÚ) 2016/679 z 27. 4. 2016 o ochrane fyzických osôb pri spracúvaní osobných údajov a o voľnom pohybe takýchto údajov, ktorým sa zrušuje smernica 95/46/ES (ďalej len „Nariadenie“) a zákonom č. 18/2018 Z.z. o ochrane osobných údajov v platnom znení (ďalej len „zákon“), ktoré sú účinné od 25.05.2018. </w:t>
      </w:r>
      <w:r w:rsidR="00CE4786">
        <w:rPr>
          <w:rFonts w:ascii="Palatino Linotype" w:hAnsi="Palatino Linotype"/>
        </w:rPr>
        <w:t>Obec</w:t>
      </w:r>
      <w:bookmarkStart w:id="0" w:name="_GoBack"/>
      <w:bookmarkEnd w:id="0"/>
      <w:r w:rsidRPr="00855BB8">
        <w:rPr>
          <w:rFonts w:ascii="Palatino Linotype" w:hAnsi="Palatino Linotype"/>
        </w:rPr>
        <w:t xml:space="preserve"> všetky osobné údaje považuje za prísne dôverné a je s nimi nakladané v súlade s platnými právnymi normami v oblasti ochrany osobných údajov.</w:t>
      </w:r>
    </w:p>
    <w:p w:rsidR="00855BB8" w:rsidRPr="00855BB8" w:rsidRDefault="00855BB8" w:rsidP="00855BB8">
      <w:pPr>
        <w:spacing w:line="276" w:lineRule="auto"/>
        <w:ind w:firstLine="708"/>
        <w:jc w:val="both"/>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Účel spracúvania osobných údajov:</w:t>
      </w:r>
    </w:p>
    <w:p w:rsidR="00910DAE" w:rsidRPr="00855BB8" w:rsidRDefault="00910DAE" w:rsidP="00910DAE">
      <w:pPr>
        <w:rPr>
          <w:rFonts w:ascii="Palatino Linotype" w:hAnsi="Palatino Linotype"/>
        </w:rPr>
      </w:pPr>
      <w:r w:rsidRPr="00855BB8">
        <w:rPr>
          <w:rFonts w:ascii="Palatino Linotype" w:hAnsi="Palatino Linotype"/>
        </w:rPr>
        <w:t>Účelom spracovanie osobných údajov je osvedčovanie listín a podpisov na listinách (ďalej len „osvedčovanie“) obvodnými úradmi a obcami. Obec vykonáva osvedčovanie v rámci výkonu samosprávy obce na základe zákona č. 599/2001 Z. z. Zákon o osvedčovaní listín a podpisov na listinách okresnými úradmi a obcami.</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Zákonnosť spracúvania osobných údajov:</w:t>
      </w:r>
    </w:p>
    <w:p w:rsidR="00910DAE" w:rsidRPr="00855BB8" w:rsidRDefault="00910DAE" w:rsidP="00910DAE">
      <w:pPr>
        <w:rPr>
          <w:rFonts w:ascii="Palatino Linotype" w:hAnsi="Palatino Linotype"/>
        </w:rPr>
      </w:pPr>
      <w:r w:rsidRPr="00855BB8">
        <w:rPr>
          <w:rFonts w:ascii="Palatino Linotype" w:hAnsi="Palatino Linotype"/>
        </w:rPr>
        <w:t xml:space="preserve">Osobné údaje sa spracovávajú na základe článku 6 ods. 1 písm. c) Nariadenia Európskeho Parlamentu a Rady (EÚ) 2016/679 o ochrane fyzických osôb pri spracúvaní osobných údajov </w:t>
      </w:r>
      <w:r w:rsidRPr="00855BB8">
        <w:rPr>
          <w:rFonts w:ascii="Palatino Linotype" w:hAnsi="Palatino Linotype"/>
        </w:rPr>
        <w:lastRenderedPageBreak/>
        <w:t>a o voľnom pohybe takýchto údajov, ktorým sa zrušuje smernica 95/46/ES (všeobecné nariadenie o ochrane údajov).</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Zákonná povinnosť spracúvania osobných údajov:</w:t>
      </w:r>
    </w:p>
    <w:p w:rsidR="00910DAE" w:rsidRPr="00855BB8" w:rsidRDefault="00910DAE" w:rsidP="00910DAE">
      <w:pPr>
        <w:rPr>
          <w:rFonts w:ascii="Palatino Linotype" w:hAnsi="Palatino Linotype"/>
        </w:rPr>
      </w:pPr>
      <w:r w:rsidRPr="00855BB8">
        <w:rPr>
          <w:rFonts w:ascii="Palatino Linotype" w:hAnsi="Palatino Linotype"/>
        </w:rPr>
        <w:t>Osobné údaje sa spracovávajú na základe  zákona č. 599/2001 Z. z. Zákon o osvedčovaní listín a podpisov na listinách okresnými úradmi a obcami.</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Forma spracúvania osobných údajov:</w:t>
      </w:r>
    </w:p>
    <w:p w:rsidR="00910DAE" w:rsidRPr="00855BB8" w:rsidRDefault="00910DAE" w:rsidP="00910DAE">
      <w:pPr>
        <w:rPr>
          <w:rFonts w:ascii="Palatino Linotype" w:hAnsi="Palatino Linotype"/>
        </w:rPr>
      </w:pPr>
      <w:r w:rsidRPr="00855BB8">
        <w:rPr>
          <w:rFonts w:ascii="Palatino Linotype" w:hAnsi="Palatino Linotype"/>
        </w:rPr>
        <w:t>Neautomatizované spracovanie osobných údajov: osvedčovacia listina, ostatné dokumenty.</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Zoznam osobných údajov:</w:t>
      </w:r>
    </w:p>
    <w:p w:rsidR="00910DAE" w:rsidRPr="00855BB8" w:rsidRDefault="00910DAE" w:rsidP="00910DAE">
      <w:pPr>
        <w:rPr>
          <w:rFonts w:ascii="Palatino Linotype" w:hAnsi="Palatino Linotype"/>
        </w:rPr>
      </w:pPr>
      <w:r w:rsidRPr="00855BB8">
        <w:rPr>
          <w:rFonts w:ascii="Palatino Linotype" w:hAnsi="Palatino Linotype"/>
        </w:rPr>
        <w:t>Osvedčovacia doložka osvedčenia pravosti podpisu na listine obsahuje meno a priezvisko fyzickej osoby, ktorej podpis bol osvedčený, rodné číslo fyzickej osoby, ktorej podpis bol osvedčený, adresu trvalého pobytu fyzickej osoby, ktorej podpis bol osvedčený, údaj, že podpis na listine urobila alebo uznala za svoj vlastný fyzická osoba, ktorej podpis bol osvedčený, poradové číslo, pod ktorým je osvedčenie zapísané v osvedčovacej knihe, údaj, akým spôsobom bola preukázaná totožnosť fyzickej osoby, ktorej podpis bol osvedčený (druh a číslo preukazu totožnosti, adresa pobytu v čase osvedčovania).</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Dotknuté osoby:</w:t>
      </w:r>
    </w:p>
    <w:p w:rsidR="00910DAE" w:rsidRPr="00855BB8" w:rsidRDefault="00910DAE" w:rsidP="00910DAE">
      <w:pPr>
        <w:rPr>
          <w:rFonts w:ascii="Palatino Linotype" w:hAnsi="Palatino Linotype"/>
        </w:rPr>
      </w:pPr>
      <w:r w:rsidRPr="00855BB8">
        <w:rPr>
          <w:rFonts w:ascii="Palatino Linotype" w:hAnsi="Palatino Linotype"/>
        </w:rPr>
        <w:t>Fyzické osoby.</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 xml:space="preserve">Lehoty uloženia osobných údajov: </w:t>
      </w:r>
    </w:p>
    <w:p w:rsidR="00910DAE" w:rsidRPr="00855BB8" w:rsidRDefault="00910DAE" w:rsidP="00910DAE">
      <w:pPr>
        <w:rPr>
          <w:rFonts w:ascii="Palatino Linotype" w:hAnsi="Palatino Linotype"/>
        </w:rPr>
      </w:pPr>
      <w:r w:rsidRPr="00855BB8">
        <w:rPr>
          <w:rFonts w:ascii="Palatino Linotype" w:hAnsi="Palatino Linotype"/>
        </w:rPr>
        <w:t>Obvodný úrad a obec ponechávajú osvedčovaciu knihu v registratúre na riadny výkon štátneho odborného dozoru desať rokov od jej uzavretia.</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Oprávnený záujem prevádzkovateľa:</w:t>
      </w:r>
    </w:p>
    <w:p w:rsidR="00910DAE" w:rsidRPr="00855BB8" w:rsidRDefault="00910DAE" w:rsidP="00910DAE">
      <w:pPr>
        <w:rPr>
          <w:rFonts w:ascii="Palatino Linotype" w:hAnsi="Palatino Linotype"/>
        </w:rPr>
      </w:pPr>
      <w:r w:rsidRPr="00855BB8">
        <w:rPr>
          <w:rFonts w:ascii="Palatino Linotype" w:hAnsi="Palatino Linotype"/>
        </w:rPr>
        <w:t>Spracúvanie osobných údajov za účelom oprávnených záujmov prevádzkovateľa sa nevykonáva.</w:t>
      </w:r>
    </w:p>
    <w:p w:rsidR="006A0167" w:rsidRPr="00855BB8" w:rsidRDefault="006A0167"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lastRenderedPageBreak/>
        <w:t xml:space="preserve"> Postup osobných údajov do tretích krajín:</w:t>
      </w:r>
    </w:p>
    <w:p w:rsidR="00910DAE" w:rsidRPr="00855BB8" w:rsidRDefault="00910DAE" w:rsidP="00910DAE">
      <w:pPr>
        <w:rPr>
          <w:rFonts w:ascii="Palatino Linotype" w:hAnsi="Palatino Linotype"/>
        </w:rPr>
      </w:pPr>
      <w:r w:rsidRPr="00855BB8">
        <w:rPr>
          <w:rFonts w:ascii="Palatino Linotype" w:hAnsi="Palatino Linotype"/>
        </w:rPr>
        <w:t>Osobné údaje sa do tretích krajín neposkytujú.</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Technické a organizačné bezpečnostné opatrenia:</w:t>
      </w:r>
    </w:p>
    <w:p w:rsidR="00910DAE" w:rsidRPr="00855BB8" w:rsidRDefault="00910DAE" w:rsidP="00910DAE">
      <w:pPr>
        <w:rPr>
          <w:rFonts w:ascii="Palatino Linotype" w:hAnsi="Palatino Linotype"/>
        </w:rPr>
      </w:pPr>
      <w:r w:rsidRPr="00855BB8">
        <w:rPr>
          <w:rFonts w:ascii="Palatino Linotype" w:hAnsi="Palatino Linotype"/>
        </w:rPr>
        <w:t xml:space="preserve">Organizačné a technické opatrenia na ochranu osobných údajov sú spracované v interných predpisoch prevádzkovateľa. Bezpečnostné opatrenia sú vykonávané v oblastiach fyzickej a objektovej bezpečnosti, informačnej bezpečnosti, šifrovej ochrany informácií, personálnej, administratívnej bezpečnosti a ochrany citlivých informácií, s presne definovanými právomocami a povinnosťami uvedenými v bezpečnostnej politike. </w:t>
      </w:r>
    </w:p>
    <w:p w:rsidR="00910DAE" w:rsidRPr="00855BB8" w:rsidRDefault="00910DAE" w:rsidP="00910DAE">
      <w:pPr>
        <w:rPr>
          <w:rFonts w:ascii="Palatino Linotype" w:hAnsi="Palatino Linotype"/>
        </w:rPr>
      </w:pPr>
    </w:p>
    <w:p w:rsidR="00910DAE" w:rsidRPr="00855BB8" w:rsidRDefault="00910DAE" w:rsidP="00910DAE">
      <w:pPr>
        <w:pStyle w:val="Odsekzoznamu"/>
        <w:numPr>
          <w:ilvl w:val="0"/>
          <w:numId w:val="1"/>
        </w:numPr>
        <w:rPr>
          <w:rFonts w:ascii="Palatino Linotype" w:hAnsi="Palatino Linotype"/>
          <w:b/>
        </w:rPr>
      </w:pPr>
      <w:r w:rsidRPr="00855BB8">
        <w:rPr>
          <w:rFonts w:ascii="Palatino Linotype" w:hAnsi="Palatino Linotype"/>
          <w:b/>
        </w:rPr>
        <w:t>Kategória osobných údajov:</w:t>
      </w:r>
    </w:p>
    <w:p w:rsidR="00910DAE" w:rsidRPr="00855BB8" w:rsidRDefault="00910DAE" w:rsidP="00910DAE">
      <w:pPr>
        <w:rPr>
          <w:rFonts w:ascii="Palatino Linotype" w:hAnsi="Palatino Linotype"/>
        </w:rPr>
      </w:pPr>
      <w:r w:rsidRPr="00855BB8">
        <w:rPr>
          <w:rFonts w:ascii="Palatino Linotype" w:hAnsi="Palatino Linotype"/>
        </w:rPr>
        <w:t>Bežné osobné údaje.</w:t>
      </w:r>
    </w:p>
    <w:p w:rsidR="00B63931" w:rsidRPr="00855BB8" w:rsidRDefault="00B63931">
      <w:pPr>
        <w:rPr>
          <w:rFonts w:ascii="Palatino Linotype" w:hAnsi="Palatino Linotype"/>
        </w:rPr>
      </w:pPr>
    </w:p>
    <w:p w:rsidR="006A0167" w:rsidRPr="00855BB8" w:rsidRDefault="006A0167" w:rsidP="006A0167">
      <w:pPr>
        <w:pStyle w:val="Odsekzoznamu"/>
        <w:numPr>
          <w:ilvl w:val="0"/>
          <w:numId w:val="1"/>
        </w:numPr>
        <w:rPr>
          <w:rFonts w:ascii="Palatino Linotype" w:hAnsi="Palatino Linotype"/>
          <w:b/>
        </w:rPr>
      </w:pPr>
      <w:r w:rsidRPr="00855BB8">
        <w:rPr>
          <w:rFonts w:ascii="Palatino Linotype" w:hAnsi="Palatino Linotype"/>
          <w:b/>
        </w:rPr>
        <w:t>Príjemcovia osobných údajov (tretie strany):</w:t>
      </w:r>
    </w:p>
    <w:p w:rsidR="006A0167" w:rsidRPr="00855BB8" w:rsidRDefault="006A0167" w:rsidP="006A0167">
      <w:pPr>
        <w:pStyle w:val="Odsekzoznamu"/>
        <w:rPr>
          <w:rFonts w:ascii="Palatino Linotype" w:hAnsi="Palatino Linotype"/>
          <w:b/>
        </w:rPr>
      </w:pPr>
    </w:p>
    <w:tbl>
      <w:tblPr>
        <w:tblStyle w:val="Mriekatabuky"/>
        <w:tblW w:w="0" w:type="auto"/>
        <w:tblLook w:val="04A0" w:firstRow="1" w:lastRow="0" w:firstColumn="1" w:lastColumn="0" w:noHBand="0" w:noVBand="1"/>
      </w:tblPr>
      <w:tblGrid>
        <w:gridCol w:w="4531"/>
        <w:gridCol w:w="4531"/>
      </w:tblGrid>
      <w:tr w:rsidR="006A0167" w:rsidRPr="00855BB8" w:rsidTr="00747162">
        <w:tc>
          <w:tcPr>
            <w:tcW w:w="4531" w:type="dxa"/>
            <w:shd w:val="clear" w:color="auto" w:fill="FFF2CC" w:themeFill="accent4" w:themeFillTint="33"/>
          </w:tcPr>
          <w:p w:rsidR="006A0167" w:rsidRPr="00855BB8" w:rsidRDefault="006A0167" w:rsidP="00747162">
            <w:pPr>
              <w:jc w:val="center"/>
              <w:rPr>
                <w:rFonts w:ascii="Palatino Linotype" w:hAnsi="Palatino Linotype"/>
              </w:rPr>
            </w:pPr>
            <w:r w:rsidRPr="00855BB8">
              <w:rPr>
                <w:rFonts w:ascii="Palatino Linotype" w:hAnsi="Palatino Linotype"/>
              </w:rPr>
              <w:t>Tretie strany</w:t>
            </w:r>
          </w:p>
        </w:tc>
        <w:tc>
          <w:tcPr>
            <w:tcW w:w="4531" w:type="dxa"/>
            <w:shd w:val="clear" w:color="auto" w:fill="FFF2CC" w:themeFill="accent4" w:themeFillTint="33"/>
          </w:tcPr>
          <w:p w:rsidR="006A0167" w:rsidRPr="00855BB8" w:rsidRDefault="006A0167" w:rsidP="00747162">
            <w:pPr>
              <w:jc w:val="center"/>
              <w:rPr>
                <w:rFonts w:ascii="Palatino Linotype" w:hAnsi="Palatino Linotype"/>
              </w:rPr>
            </w:pPr>
            <w:r w:rsidRPr="00855BB8">
              <w:rPr>
                <w:rFonts w:ascii="Palatino Linotype" w:hAnsi="Palatino Linotype"/>
              </w:rPr>
              <w:t>Právny základ</w:t>
            </w:r>
          </w:p>
        </w:tc>
      </w:tr>
      <w:tr w:rsidR="006A0167" w:rsidRPr="00855BB8" w:rsidTr="00747162">
        <w:tc>
          <w:tcPr>
            <w:tcW w:w="4531" w:type="dxa"/>
            <w:shd w:val="clear" w:color="auto" w:fill="DEEAF6" w:themeFill="accent1" w:themeFillTint="33"/>
          </w:tcPr>
          <w:p w:rsidR="006A0167" w:rsidRPr="00855BB8" w:rsidRDefault="006A0167" w:rsidP="00747162">
            <w:pPr>
              <w:jc w:val="both"/>
              <w:rPr>
                <w:rFonts w:ascii="Palatino Linotype" w:hAnsi="Palatino Linotype"/>
              </w:rPr>
            </w:pPr>
            <w:r w:rsidRPr="00855BB8">
              <w:rPr>
                <w:rFonts w:ascii="Palatino Linotype" w:hAnsi="Palatino Linotype"/>
              </w:rPr>
              <w:t>Iný oprávnený subjekt</w:t>
            </w:r>
          </w:p>
        </w:tc>
        <w:tc>
          <w:tcPr>
            <w:tcW w:w="4531" w:type="dxa"/>
            <w:shd w:val="clear" w:color="auto" w:fill="DEEAF6" w:themeFill="accent1" w:themeFillTint="33"/>
          </w:tcPr>
          <w:p w:rsidR="006A0167" w:rsidRPr="00855BB8" w:rsidRDefault="006A0167" w:rsidP="00747162">
            <w:pPr>
              <w:jc w:val="both"/>
              <w:rPr>
                <w:rFonts w:ascii="Palatino Linotype" w:hAnsi="Palatino Linotype"/>
              </w:rPr>
            </w:pPr>
            <w:r w:rsidRPr="00855BB8">
              <w:rPr>
                <w:rFonts w:ascii="Palatino Linotype" w:hAnsi="Palatino Linotype"/>
              </w:rPr>
              <w:t>Na základe článku 6 ods. 1 písm. c) Nariadenia Európskeho Parlamentu a Rady (EÚ) 2016/679 o ochrane fyzických osôb pri spracúvaní osobných údajov a o voľnom pohybe takýchto údajov, ktorým sa zrušuje smernica 95/46/ES (všeobecné nariadenie o ochrane údajov).</w:t>
            </w:r>
          </w:p>
        </w:tc>
      </w:tr>
      <w:tr w:rsidR="006A0167" w:rsidRPr="00855BB8" w:rsidTr="00747162">
        <w:tc>
          <w:tcPr>
            <w:tcW w:w="4531" w:type="dxa"/>
            <w:shd w:val="clear" w:color="auto" w:fill="DEEAF6" w:themeFill="accent1" w:themeFillTint="33"/>
          </w:tcPr>
          <w:p w:rsidR="006A0167" w:rsidRPr="00855BB8" w:rsidRDefault="006A0167" w:rsidP="00747162">
            <w:pPr>
              <w:jc w:val="both"/>
              <w:rPr>
                <w:rFonts w:ascii="Palatino Linotype" w:hAnsi="Palatino Linotype"/>
              </w:rPr>
            </w:pPr>
            <w:r w:rsidRPr="00855BB8">
              <w:rPr>
                <w:rFonts w:ascii="Palatino Linotype" w:hAnsi="Palatino Linotype"/>
              </w:rPr>
              <w:t>Fyzické osoby</w:t>
            </w:r>
          </w:p>
        </w:tc>
        <w:tc>
          <w:tcPr>
            <w:tcW w:w="4531" w:type="dxa"/>
            <w:shd w:val="clear" w:color="auto" w:fill="DEEAF6" w:themeFill="accent1" w:themeFillTint="33"/>
          </w:tcPr>
          <w:p w:rsidR="006A0167" w:rsidRPr="00855BB8" w:rsidRDefault="006A0167" w:rsidP="00747162">
            <w:pPr>
              <w:rPr>
                <w:rFonts w:ascii="Palatino Linotype" w:hAnsi="Palatino Linotype"/>
              </w:rPr>
            </w:pPr>
            <w:r w:rsidRPr="00855BB8">
              <w:rPr>
                <w:rFonts w:ascii="Palatino Linotype" w:hAnsi="Palatino Linotype"/>
              </w:rPr>
              <w:t>Na základe zákona č. 154/1994 Z. z. o matrikách v znení neskorších predpisov (napr. §18).</w:t>
            </w:r>
          </w:p>
        </w:tc>
      </w:tr>
      <w:tr w:rsidR="006A0167" w:rsidRPr="00855BB8" w:rsidTr="00747162">
        <w:tc>
          <w:tcPr>
            <w:tcW w:w="4531" w:type="dxa"/>
            <w:shd w:val="clear" w:color="auto" w:fill="DEEAF6" w:themeFill="accent1" w:themeFillTint="33"/>
          </w:tcPr>
          <w:p w:rsidR="006A0167" w:rsidRPr="00855BB8" w:rsidRDefault="006A0167" w:rsidP="00747162">
            <w:pPr>
              <w:jc w:val="both"/>
              <w:rPr>
                <w:rFonts w:ascii="Palatino Linotype" w:hAnsi="Palatino Linotype"/>
              </w:rPr>
            </w:pPr>
            <w:r w:rsidRPr="00855BB8">
              <w:rPr>
                <w:rFonts w:ascii="Palatino Linotype" w:hAnsi="Palatino Linotype"/>
              </w:rPr>
              <w:t>Súd, orgány činné v trestnom konaní</w:t>
            </w:r>
          </w:p>
        </w:tc>
        <w:tc>
          <w:tcPr>
            <w:tcW w:w="4531" w:type="dxa"/>
            <w:shd w:val="clear" w:color="auto" w:fill="DEEAF6" w:themeFill="accent1" w:themeFillTint="33"/>
          </w:tcPr>
          <w:p w:rsidR="006A0167" w:rsidRPr="00855BB8" w:rsidRDefault="006A0167" w:rsidP="00747162">
            <w:pPr>
              <w:rPr>
                <w:rFonts w:ascii="Palatino Linotype" w:hAnsi="Palatino Linotype"/>
              </w:rPr>
            </w:pPr>
            <w:r w:rsidRPr="00855BB8">
              <w:rPr>
                <w:rFonts w:ascii="Palatino Linotype" w:hAnsi="Palatino Linotype"/>
              </w:rPr>
              <w:t>Zákon č. 99/1963 Zb. Občiansky súdny poriadok v znení neskorších predpisov zákon č. 301/2005 Z. z. Trestný poriadok v znení neskorších predpisov</w:t>
            </w:r>
          </w:p>
        </w:tc>
      </w:tr>
    </w:tbl>
    <w:p w:rsidR="006A0167" w:rsidRPr="00855BB8" w:rsidRDefault="006A0167" w:rsidP="006A0167">
      <w:pPr>
        <w:pStyle w:val="Odsekzoznamu"/>
        <w:rPr>
          <w:rFonts w:ascii="Palatino Linotype" w:hAnsi="Palatino Linotype"/>
          <w:b/>
        </w:rPr>
      </w:pPr>
    </w:p>
    <w:p w:rsidR="00537A0F" w:rsidRDefault="00537A0F" w:rsidP="00537A0F">
      <w:pPr>
        <w:spacing w:line="276" w:lineRule="auto"/>
        <w:jc w:val="both"/>
        <w:rPr>
          <w:rFonts w:ascii="Palatino Linotype" w:hAnsi="Palatino Linotype"/>
          <w:b/>
        </w:rPr>
      </w:pPr>
    </w:p>
    <w:p w:rsidR="00855BB8" w:rsidRDefault="00855BB8" w:rsidP="00537A0F">
      <w:pPr>
        <w:spacing w:line="276" w:lineRule="auto"/>
        <w:jc w:val="both"/>
        <w:rPr>
          <w:rFonts w:ascii="Palatino Linotype" w:hAnsi="Palatino Linotype"/>
          <w:b/>
        </w:rPr>
      </w:pPr>
    </w:p>
    <w:p w:rsidR="00855BB8" w:rsidRPr="00855BB8" w:rsidRDefault="00855BB8" w:rsidP="00537A0F">
      <w:pPr>
        <w:spacing w:line="276" w:lineRule="auto"/>
        <w:jc w:val="both"/>
        <w:rPr>
          <w:rFonts w:ascii="Palatino Linotype" w:hAnsi="Palatino Linotype"/>
          <w:b/>
        </w:rPr>
      </w:pPr>
    </w:p>
    <w:sectPr w:rsidR="00855BB8" w:rsidRPr="00855BB8" w:rsidSect="00394AE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040" w:rsidRDefault="00AC6040" w:rsidP="00197E02">
      <w:pPr>
        <w:spacing w:after="0" w:line="240" w:lineRule="auto"/>
      </w:pPr>
      <w:r>
        <w:separator/>
      </w:r>
    </w:p>
  </w:endnote>
  <w:endnote w:type="continuationSeparator" w:id="0">
    <w:p w:rsidR="00AC6040" w:rsidRDefault="00AC6040" w:rsidP="0019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040" w:rsidRDefault="00AC6040" w:rsidP="00197E02">
      <w:pPr>
        <w:spacing w:after="0" w:line="240" w:lineRule="auto"/>
      </w:pPr>
      <w:r>
        <w:separator/>
      </w:r>
    </w:p>
  </w:footnote>
  <w:footnote w:type="continuationSeparator" w:id="0">
    <w:p w:rsidR="00AC6040" w:rsidRDefault="00AC6040" w:rsidP="00197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E02" w:rsidRDefault="00537A0F">
    <w:pPr>
      <w:pStyle w:val="Hlavika"/>
    </w:pPr>
    <w:r w:rsidRPr="00855BB8">
      <w:rPr>
        <w:rFonts w:ascii="Palatino Linotype" w:hAnsi="Palatino Linotype"/>
      </w:rPr>
      <w:t>Informačná povinnosť</w:t>
    </w:r>
    <w:r w:rsidR="00197E02">
      <w:tab/>
    </w:r>
    <w:r w:rsidR="00197E02">
      <w:tab/>
    </w:r>
    <w:r>
      <w:rPr>
        <w:noProof/>
        <w:lang w:eastAsia="sk-SK"/>
      </w:rPr>
      <w:drawing>
        <wp:inline distT="0" distB="0" distL="0" distR="0">
          <wp:extent cx="1071428" cy="108000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pprivac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428"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1C6"/>
    <w:multiLevelType w:val="hybridMultilevel"/>
    <w:tmpl w:val="C5E20A34"/>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280CAE"/>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2D8A40CD"/>
    <w:multiLevelType w:val="hybridMultilevel"/>
    <w:tmpl w:val="9DEABF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0FD1D2A"/>
    <w:multiLevelType w:val="hybridMultilevel"/>
    <w:tmpl w:val="9DEABFA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2F0B11"/>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41F52545"/>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84418EC"/>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0DAE"/>
    <w:rsid w:val="00197E02"/>
    <w:rsid w:val="00394AE8"/>
    <w:rsid w:val="00537A0F"/>
    <w:rsid w:val="006A0167"/>
    <w:rsid w:val="00855BB8"/>
    <w:rsid w:val="00910DAE"/>
    <w:rsid w:val="00AC6040"/>
    <w:rsid w:val="00AE06E6"/>
    <w:rsid w:val="00B63931"/>
    <w:rsid w:val="00C2445E"/>
    <w:rsid w:val="00CE478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79B0"/>
  <w15:docId w15:val="{249B9718-A1F2-4C3E-A088-E5DC9175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4AE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10DAE"/>
    <w:pPr>
      <w:ind w:left="720"/>
      <w:contextualSpacing/>
    </w:pPr>
  </w:style>
  <w:style w:type="paragraph" w:styleId="Hlavika">
    <w:name w:val="header"/>
    <w:basedOn w:val="Normlny"/>
    <w:link w:val="HlavikaChar"/>
    <w:uiPriority w:val="99"/>
    <w:unhideWhenUsed/>
    <w:rsid w:val="00197E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7E02"/>
  </w:style>
  <w:style w:type="paragraph" w:styleId="Pta">
    <w:name w:val="footer"/>
    <w:basedOn w:val="Normlny"/>
    <w:link w:val="PtaChar"/>
    <w:uiPriority w:val="99"/>
    <w:unhideWhenUsed/>
    <w:rsid w:val="00197E02"/>
    <w:pPr>
      <w:tabs>
        <w:tab w:val="center" w:pos="4536"/>
        <w:tab w:val="right" w:pos="9072"/>
      </w:tabs>
      <w:spacing w:after="0" w:line="240" w:lineRule="auto"/>
    </w:pPr>
  </w:style>
  <w:style w:type="character" w:customStyle="1" w:styleId="PtaChar">
    <w:name w:val="Päta Char"/>
    <w:basedOn w:val="Predvolenpsmoodseku"/>
    <w:link w:val="Pta"/>
    <w:uiPriority w:val="99"/>
    <w:rsid w:val="00197E02"/>
  </w:style>
  <w:style w:type="table" w:styleId="Mriekatabuky">
    <w:name w:val="Table Grid"/>
    <w:basedOn w:val="Normlnatabuka"/>
    <w:uiPriority w:val="39"/>
    <w:rsid w:val="0019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37A0F"/>
    <w:rPr>
      <w:color w:val="0563C1" w:themeColor="hyperlink"/>
      <w:u w:val="single"/>
    </w:rPr>
  </w:style>
  <w:style w:type="paragraph" w:styleId="Textbubliny">
    <w:name w:val="Balloon Text"/>
    <w:basedOn w:val="Normlny"/>
    <w:link w:val="TextbublinyChar"/>
    <w:uiPriority w:val="99"/>
    <w:semiHidden/>
    <w:unhideWhenUsed/>
    <w:rsid w:val="00AE06E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E0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654</Words>
  <Characters>3729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Baška</dc:creator>
  <cp:keywords/>
  <dc:description/>
  <cp:lastModifiedBy>suta peter</cp:lastModifiedBy>
  <cp:revision>5</cp:revision>
  <dcterms:created xsi:type="dcterms:W3CDTF">2019-02-12T12:45:00Z</dcterms:created>
  <dcterms:modified xsi:type="dcterms:W3CDTF">2019-07-22T07:12:00Z</dcterms:modified>
</cp:coreProperties>
</file>