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FD7" w:rsidRDefault="00014FD7" w:rsidP="000000A0">
      <w:pPr>
        <w:spacing w:line="276" w:lineRule="auto"/>
        <w:jc w:val="center"/>
        <w:rPr>
          <w:b/>
          <w:sz w:val="24"/>
          <w:szCs w:val="24"/>
          <w:u w:val="single"/>
        </w:rPr>
      </w:pPr>
    </w:p>
    <w:p w:rsidR="000000A0" w:rsidRPr="00014FD7" w:rsidRDefault="000000A0" w:rsidP="000000A0">
      <w:pPr>
        <w:spacing w:line="276" w:lineRule="auto"/>
        <w:jc w:val="center"/>
        <w:rPr>
          <w:rFonts w:ascii="Palatino Linotype" w:hAnsi="Palatino Linotype"/>
          <w:b/>
          <w:sz w:val="24"/>
          <w:szCs w:val="24"/>
          <w:u w:val="single"/>
        </w:rPr>
      </w:pPr>
      <w:r w:rsidRPr="00014FD7">
        <w:rPr>
          <w:rFonts w:ascii="Palatino Linotype" w:hAnsi="Palatino Linotype"/>
          <w:b/>
          <w:sz w:val="24"/>
          <w:szCs w:val="24"/>
          <w:u w:val="single"/>
        </w:rPr>
        <w:t xml:space="preserve">INFORMÁCIA O SPRACÚVANÍ OSOBNÝCH ÚDAJOV PRE DOTKNUTÉ OSOBY </w:t>
      </w:r>
    </w:p>
    <w:p w:rsidR="00EE6B21" w:rsidRDefault="00014FD7" w:rsidP="00FD321F">
      <w:pPr>
        <w:jc w:val="center"/>
        <w:rPr>
          <w:rFonts w:ascii="Palatino Linotype" w:hAnsi="Palatino Linotype"/>
          <w:b/>
          <w:sz w:val="24"/>
          <w:szCs w:val="24"/>
          <w:u w:val="single"/>
        </w:rPr>
      </w:pPr>
      <w:r w:rsidRPr="00014FD7">
        <w:rPr>
          <w:rFonts w:ascii="Palatino Linotype" w:hAnsi="Palatino Linotype"/>
          <w:b/>
          <w:sz w:val="24"/>
          <w:szCs w:val="24"/>
          <w:u w:val="single"/>
        </w:rPr>
        <w:t>HOSPODÁRSKA MOBILIZÁCIA</w:t>
      </w:r>
    </w:p>
    <w:p w:rsidR="00014FD7" w:rsidRPr="00014FD7" w:rsidRDefault="00014FD7" w:rsidP="00FD321F">
      <w:pPr>
        <w:jc w:val="center"/>
        <w:rPr>
          <w:rFonts w:ascii="Palatino Linotype" w:hAnsi="Palatino Linotype"/>
          <w:b/>
          <w:sz w:val="24"/>
          <w:szCs w:val="24"/>
          <w:u w:val="single"/>
        </w:rPr>
      </w:pPr>
    </w:p>
    <w:p w:rsidR="000000A0" w:rsidRPr="00014FD7" w:rsidRDefault="000000A0" w:rsidP="000000A0">
      <w:pPr>
        <w:spacing w:line="276" w:lineRule="auto"/>
        <w:jc w:val="center"/>
        <w:rPr>
          <w:rFonts w:ascii="Palatino Linotype" w:hAnsi="Palatino Linotype"/>
        </w:rPr>
      </w:pPr>
      <w:r w:rsidRPr="00014FD7">
        <w:rPr>
          <w:rFonts w:ascii="Palatino Linotype" w:hAnsi="Palatino Linotype"/>
        </w:rPr>
        <w:t>podľa čl. 13 Nariadenia Európskeho parlamentu a rady (EU) 2016/679 o ochrane fyzických osôb pri spracúvaní osobných údajov a o voľnom pohybe takýchto údajov</w:t>
      </w:r>
    </w:p>
    <w:p w:rsidR="000000A0" w:rsidRPr="00014FD7" w:rsidRDefault="000000A0" w:rsidP="000000A0">
      <w:pPr>
        <w:spacing w:line="276" w:lineRule="auto"/>
        <w:jc w:val="center"/>
        <w:rPr>
          <w:rFonts w:ascii="Palatino Linotype" w:hAnsi="Palatino Linotype"/>
        </w:rPr>
      </w:pPr>
    </w:p>
    <w:p w:rsidR="000000A0" w:rsidRPr="00014FD7" w:rsidRDefault="000000A0" w:rsidP="00014FD7">
      <w:pPr>
        <w:spacing w:line="276" w:lineRule="auto"/>
        <w:ind w:firstLine="708"/>
        <w:jc w:val="both"/>
        <w:rPr>
          <w:rFonts w:ascii="Palatino Linotype" w:hAnsi="Palatino Linotype"/>
          <w:b/>
        </w:rPr>
      </w:pPr>
      <w:r w:rsidRPr="00014FD7">
        <w:rPr>
          <w:rFonts w:ascii="Palatino Linotype" w:hAnsi="Palatino Linotype"/>
          <w:b/>
        </w:rPr>
        <w:t>Bezpečnosť Vašich osobných údajov je pre nás veľmi dôležitá, preto s nimi zaobchádzame veľmi starostlivo. Cieľom tejto informácie je poskytnúť Vám informácie o tom, aké osobné údaje o Vás spracúvame na účely</w:t>
      </w:r>
      <w:r w:rsidR="00014FD7" w:rsidRPr="00014FD7">
        <w:rPr>
          <w:rFonts w:ascii="Palatino Linotype" w:hAnsi="Palatino Linotype"/>
          <w:b/>
        </w:rPr>
        <w:t xml:space="preserve"> agendy</w:t>
      </w:r>
      <w:r w:rsidR="00D50161">
        <w:rPr>
          <w:rFonts w:ascii="Palatino Linotype" w:hAnsi="Palatino Linotype"/>
          <w:b/>
        </w:rPr>
        <w:t xml:space="preserve"> </w:t>
      </w:r>
      <w:r w:rsidR="00014FD7" w:rsidRPr="00014FD7">
        <w:rPr>
          <w:rFonts w:ascii="Palatino Linotype" w:hAnsi="Palatino Linotype"/>
          <w:b/>
        </w:rPr>
        <w:t>hospodárskej mobilizácie</w:t>
      </w:r>
      <w:r w:rsidRPr="00014FD7">
        <w:rPr>
          <w:rFonts w:ascii="Palatino Linotype" w:hAnsi="Palatino Linotype"/>
          <w:b/>
        </w:rPr>
        <w:t>, ako s nimi zaobchádzame, komu ich môžeme poskytnúť, kde môžete získať ďalšie informácie o Vašich osobných údajoch a uplatniť Vaše práva pri spracúvaní osobných údajov.</w:t>
      </w:r>
    </w:p>
    <w:p w:rsidR="000000A0" w:rsidRPr="00014FD7" w:rsidRDefault="000000A0" w:rsidP="000000A0">
      <w:pPr>
        <w:spacing w:line="276" w:lineRule="auto"/>
        <w:jc w:val="both"/>
        <w:rPr>
          <w:rFonts w:ascii="Palatino Linotype" w:hAnsi="Palatino Linotype"/>
          <w:b/>
        </w:rPr>
      </w:pPr>
    </w:p>
    <w:p w:rsidR="00EE6B21" w:rsidRPr="00014FD7" w:rsidRDefault="000000A0" w:rsidP="00014FD7">
      <w:pPr>
        <w:spacing w:line="276" w:lineRule="auto"/>
        <w:ind w:firstLine="708"/>
        <w:jc w:val="both"/>
        <w:rPr>
          <w:rFonts w:ascii="Palatino Linotype" w:hAnsi="Palatino Linotype"/>
        </w:rPr>
      </w:pPr>
      <w:r w:rsidRPr="00014FD7">
        <w:rPr>
          <w:rFonts w:ascii="Palatino Linotype" w:hAnsi="Palatino Linotype"/>
        </w:rPr>
        <w:t xml:space="preserve">Naša </w:t>
      </w:r>
      <w:r w:rsidR="00D50161">
        <w:rPr>
          <w:rFonts w:ascii="Palatino Linotype" w:hAnsi="Palatino Linotype"/>
        </w:rPr>
        <w:t>obec</w:t>
      </w:r>
      <w:r w:rsidRPr="00014FD7">
        <w:rPr>
          <w:rFonts w:ascii="Palatino Linotype" w:hAnsi="Palatino Linotype"/>
        </w:rPr>
        <w:t xml:space="preserve"> sa zaväzuje spracúvať osobné údaje dotknutých osôb v súlade s Nariadením Európskeho parlamentu a Rady (EÚ) 2016/679 z 27. 4. 2016 o ochrane fyzických osôb pri spracúvaní osobných údajov a o voľnom pohybe takýchto údajov, ktorým sa zrušuje smernica 95/46/ES (ďalej len „Nariadenie“) a zákonom č. 18/2018 Z.z. o ochrane osobných údajov v platnom znení (ďalej len „zákon“), ktoré sú účinné od 25.05.2018. </w:t>
      </w:r>
      <w:r w:rsidR="00D50161">
        <w:rPr>
          <w:rFonts w:ascii="Palatino Linotype" w:hAnsi="Palatino Linotype"/>
        </w:rPr>
        <w:t>Obec</w:t>
      </w:r>
      <w:bookmarkStart w:id="0" w:name="_GoBack"/>
      <w:bookmarkEnd w:id="0"/>
      <w:r w:rsidRPr="00014FD7">
        <w:rPr>
          <w:rFonts w:ascii="Palatino Linotype" w:hAnsi="Palatino Linotype"/>
        </w:rPr>
        <w:t xml:space="preserve"> všetky osobné údaje považuje za prísne dôverné a je s nimi nakladané v súlade s platnými právnymi normami v oblasti ochrany osobných údajov.</w:t>
      </w:r>
    </w:p>
    <w:p w:rsidR="00014FD7" w:rsidRPr="00014FD7" w:rsidRDefault="00014FD7" w:rsidP="00014FD7">
      <w:pPr>
        <w:spacing w:line="276" w:lineRule="auto"/>
        <w:ind w:firstLine="708"/>
        <w:jc w:val="both"/>
        <w:rPr>
          <w:rFonts w:ascii="Palatino Linotype" w:hAnsi="Palatino Linotype"/>
        </w:rPr>
      </w:pPr>
    </w:p>
    <w:p w:rsidR="00EE6B21" w:rsidRPr="00014FD7" w:rsidRDefault="00EE6B21" w:rsidP="00FD321F">
      <w:pPr>
        <w:pStyle w:val="Odsekzoznamu"/>
        <w:numPr>
          <w:ilvl w:val="0"/>
          <w:numId w:val="1"/>
        </w:numPr>
        <w:rPr>
          <w:rFonts w:ascii="Palatino Linotype" w:hAnsi="Palatino Linotype"/>
          <w:b/>
        </w:rPr>
      </w:pPr>
      <w:r w:rsidRPr="00014FD7">
        <w:rPr>
          <w:rFonts w:ascii="Palatino Linotype" w:hAnsi="Palatino Linotype"/>
          <w:b/>
        </w:rPr>
        <w:t>Účel spracúvania osobných údajov:</w:t>
      </w:r>
    </w:p>
    <w:p w:rsidR="00EE6B21" w:rsidRPr="00014FD7" w:rsidRDefault="00EE6B21" w:rsidP="00EE6B21">
      <w:pPr>
        <w:rPr>
          <w:rFonts w:ascii="Palatino Linotype" w:hAnsi="Palatino Linotype"/>
        </w:rPr>
      </w:pPr>
      <w:r w:rsidRPr="00014FD7">
        <w:rPr>
          <w:rFonts w:ascii="Palatino Linotype" w:hAnsi="Palatino Linotype"/>
        </w:rPr>
        <w:t xml:space="preserve">Subjekt hospodárskej mobilizácie získava, spracováva a uchováva osobné údaje zamestnancov subjektu hospodárskej mobilizácie alebo fyzických osôb na účely krízového plánovania, vyrozumenia subjektu hospodárskej mobilizácie o vyhlásení núdzového stavu, výnimočného stavu, vojnového stavu a vypovedaní vojny alebo o nariadení vykonávania opatrení hospodárskej mobilizácie, uloženia pracovnej povinnosti, vecného plnenia, výdaja nákupných preukazov alebo prídelových lístkov alebo evidencie zamestnancov pre okresný úrad v sídle kraja na účely ich oslobodenia od mimoriadnej služby určené na zaistenie bezpečnosti Slovenskej republiky alebo obrany Slovenskej republiky a vedené v špecifickom </w:t>
      </w:r>
      <w:r w:rsidRPr="00014FD7">
        <w:rPr>
          <w:rFonts w:ascii="Palatino Linotype" w:hAnsi="Palatino Linotype"/>
        </w:rPr>
        <w:lastRenderedPageBreak/>
        <w:t>aplikačnom programe jednotného informačného systému hospodárskej mobilizácie alebo v inom vlastnom programovom prostriedku.</w:t>
      </w:r>
    </w:p>
    <w:p w:rsidR="00EE6B21" w:rsidRPr="00014FD7" w:rsidRDefault="00EE6B21" w:rsidP="00EE6B21">
      <w:pPr>
        <w:rPr>
          <w:rFonts w:ascii="Palatino Linotype" w:hAnsi="Palatino Linotype"/>
        </w:rPr>
      </w:pPr>
    </w:p>
    <w:p w:rsidR="00EE6B21" w:rsidRPr="00014FD7" w:rsidRDefault="00EE6B21" w:rsidP="00FD321F">
      <w:pPr>
        <w:pStyle w:val="Odsekzoznamu"/>
        <w:numPr>
          <w:ilvl w:val="0"/>
          <w:numId w:val="1"/>
        </w:numPr>
        <w:rPr>
          <w:rFonts w:ascii="Palatino Linotype" w:hAnsi="Palatino Linotype"/>
          <w:b/>
        </w:rPr>
      </w:pPr>
      <w:r w:rsidRPr="00014FD7">
        <w:rPr>
          <w:rFonts w:ascii="Palatino Linotype" w:hAnsi="Palatino Linotype"/>
          <w:b/>
        </w:rPr>
        <w:t>Zákonnosť spracúvania osobných údajov:</w:t>
      </w:r>
    </w:p>
    <w:p w:rsidR="00EE6B21" w:rsidRPr="00014FD7" w:rsidRDefault="00EE6B21" w:rsidP="00EE6B21">
      <w:pPr>
        <w:rPr>
          <w:rFonts w:ascii="Palatino Linotype" w:hAnsi="Palatino Linotype"/>
        </w:rPr>
      </w:pPr>
      <w:r w:rsidRPr="00014FD7">
        <w:rPr>
          <w:rFonts w:ascii="Palatino Linotype" w:hAnsi="Palatino Linotype"/>
        </w:rPr>
        <w:t>Osobné údaje sa spracovávajú na základe článku 6 ods. 1 písm. c) Nariadenia Európskeho Parlamentu a Rady (EÚ) 2016/679 o ochrane fyzických osôb pri spracúvaní osobných údajov a o voľnom pohybe takýchto údajov, ktorým sa zrušuje smernica 95/46/ES (všeobecné nariadenie o ochrane údajov).</w:t>
      </w:r>
    </w:p>
    <w:p w:rsidR="00EE6B21" w:rsidRPr="00014FD7" w:rsidRDefault="00EE6B21" w:rsidP="00EE6B21">
      <w:pPr>
        <w:rPr>
          <w:rFonts w:ascii="Palatino Linotype" w:hAnsi="Palatino Linotype"/>
        </w:rPr>
      </w:pPr>
    </w:p>
    <w:p w:rsidR="00EE6B21" w:rsidRPr="00014FD7" w:rsidRDefault="00EE6B21" w:rsidP="00FD321F">
      <w:pPr>
        <w:pStyle w:val="Odsekzoznamu"/>
        <w:numPr>
          <w:ilvl w:val="0"/>
          <w:numId w:val="1"/>
        </w:numPr>
        <w:rPr>
          <w:rFonts w:ascii="Palatino Linotype" w:hAnsi="Palatino Linotype"/>
          <w:b/>
        </w:rPr>
      </w:pPr>
      <w:r w:rsidRPr="00014FD7">
        <w:rPr>
          <w:rFonts w:ascii="Palatino Linotype" w:hAnsi="Palatino Linotype"/>
          <w:b/>
        </w:rPr>
        <w:t>Zákonná povinnosť spracúvania osobných údajov:</w:t>
      </w:r>
    </w:p>
    <w:p w:rsidR="00EE6B21" w:rsidRPr="00014FD7" w:rsidRDefault="00EE6B21" w:rsidP="00EE6B21">
      <w:pPr>
        <w:rPr>
          <w:rFonts w:ascii="Palatino Linotype" w:hAnsi="Palatino Linotype"/>
        </w:rPr>
      </w:pPr>
      <w:r w:rsidRPr="00014FD7">
        <w:rPr>
          <w:rFonts w:ascii="Palatino Linotype" w:hAnsi="Palatino Linotype"/>
        </w:rPr>
        <w:t>Osobné údaje sa spracovávajú na základe  § 7 ods. 10 zákona č. 179/2011 Z. z. Zákon o hospodárskej mobilizácii a o zmene a doplnení zákona č. 387/2002 Z. z. o riadení štátu v krízových situáciách mimo času vojny a vojnového stavu v znení neskorších predpisov.</w:t>
      </w:r>
    </w:p>
    <w:p w:rsidR="00EE6B21" w:rsidRPr="00014FD7" w:rsidRDefault="00EE6B21" w:rsidP="00EE6B21">
      <w:pPr>
        <w:rPr>
          <w:rFonts w:ascii="Palatino Linotype" w:hAnsi="Palatino Linotype"/>
        </w:rPr>
      </w:pPr>
    </w:p>
    <w:p w:rsidR="00EE6B21" w:rsidRPr="00014FD7" w:rsidRDefault="00EE6B21" w:rsidP="00FD321F">
      <w:pPr>
        <w:pStyle w:val="Odsekzoznamu"/>
        <w:numPr>
          <w:ilvl w:val="0"/>
          <w:numId w:val="1"/>
        </w:numPr>
        <w:rPr>
          <w:rFonts w:ascii="Palatino Linotype" w:hAnsi="Palatino Linotype"/>
          <w:b/>
        </w:rPr>
      </w:pPr>
      <w:r w:rsidRPr="00014FD7">
        <w:rPr>
          <w:rFonts w:ascii="Palatino Linotype" w:hAnsi="Palatino Linotype"/>
          <w:b/>
        </w:rPr>
        <w:t>Forma spracúvania osobných údajov:</w:t>
      </w:r>
    </w:p>
    <w:p w:rsidR="00EE6B21" w:rsidRPr="00014FD7" w:rsidRDefault="00EE6B21" w:rsidP="00EE6B21">
      <w:pPr>
        <w:rPr>
          <w:rFonts w:ascii="Palatino Linotype" w:hAnsi="Palatino Linotype"/>
        </w:rPr>
      </w:pPr>
      <w:r w:rsidRPr="00014FD7">
        <w:rPr>
          <w:rFonts w:ascii="Palatino Linotype" w:hAnsi="Palatino Linotype"/>
        </w:rPr>
        <w:t>Automatizovaný spôsob spracovania osobných údajov: SW EPSIS.</w:t>
      </w:r>
    </w:p>
    <w:p w:rsidR="00EE6B21" w:rsidRPr="00014FD7" w:rsidRDefault="00EE6B21" w:rsidP="00EE6B21">
      <w:pPr>
        <w:rPr>
          <w:rFonts w:ascii="Palatino Linotype" w:hAnsi="Palatino Linotype"/>
        </w:rPr>
      </w:pPr>
      <w:r w:rsidRPr="00014FD7">
        <w:rPr>
          <w:rFonts w:ascii="Palatino Linotype" w:hAnsi="Palatino Linotype"/>
        </w:rPr>
        <w:t>Poloautomatizovaný spôsob spracovania osobných údajov: SW MS OFFICE.</w:t>
      </w:r>
    </w:p>
    <w:p w:rsidR="00EE6B21" w:rsidRPr="00014FD7" w:rsidRDefault="00EE6B21" w:rsidP="00EE6B21">
      <w:pPr>
        <w:rPr>
          <w:rFonts w:ascii="Palatino Linotype" w:hAnsi="Palatino Linotype"/>
        </w:rPr>
      </w:pPr>
      <w:r w:rsidRPr="00014FD7">
        <w:rPr>
          <w:rFonts w:ascii="Palatino Linotype" w:hAnsi="Palatino Linotype"/>
        </w:rPr>
        <w:t>Neautomatizované spracovanie osobných údajov: písomné dokumenty.</w:t>
      </w:r>
    </w:p>
    <w:p w:rsidR="00EE6B21" w:rsidRPr="00014FD7" w:rsidRDefault="00EE6B21" w:rsidP="00EE6B21">
      <w:pPr>
        <w:rPr>
          <w:rFonts w:ascii="Palatino Linotype" w:hAnsi="Palatino Linotype"/>
        </w:rPr>
      </w:pPr>
    </w:p>
    <w:p w:rsidR="00EE6B21" w:rsidRPr="00014FD7" w:rsidRDefault="00EE6B21" w:rsidP="00FD321F">
      <w:pPr>
        <w:pStyle w:val="Odsekzoznamu"/>
        <w:numPr>
          <w:ilvl w:val="0"/>
          <w:numId w:val="1"/>
        </w:numPr>
        <w:rPr>
          <w:rFonts w:ascii="Palatino Linotype" w:hAnsi="Palatino Linotype"/>
          <w:b/>
        </w:rPr>
      </w:pPr>
      <w:r w:rsidRPr="00014FD7">
        <w:rPr>
          <w:rFonts w:ascii="Palatino Linotype" w:hAnsi="Palatino Linotype"/>
          <w:b/>
        </w:rPr>
        <w:t>Zoznam osobných údajov:</w:t>
      </w:r>
    </w:p>
    <w:p w:rsidR="00EE6B21" w:rsidRPr="00014FD7" w:rsidRDefault="00EE6B21" w:rsidP="00EE6B21">
      <w:pPr>
        <w:rPr>
          <w:rFonts w:ascii="Palatino Linotype" w:hAnsi="Palatino Linotype"/>
        </w:rPr>
      </w:pPr>
      <w:r w:rsidRPr="00014FD7">
        <w:rPr>
          <w:rFonts w:ascii="Palatino Linotype" w:hAnsi="Palatino Linotype"/>
        </w:rPr>
        <w:t>Titul, meno, priezvisko, miesto narodenia, dátum narodenia, rodné číslo,  adresa trvalého pobytu alebo prechodného pobytu, pohlavie, štátna príslušnosť,  rodinný stav, dosiahnuté vzdelanie, profesijné zamestnanie fyzickej osoby, telefónne číslo pevnej linky, telefónne číslo mobilného zariadenia, faxové číslo alebo e-mailová adresa na fyzickú osobu alebo zamestnanca subjektu hospodárskej mobilizácie, na ktorom je zastihnuteľný cez pracovný čas aj mimo neho,  údaje na fyzickú osobu súvisiace s jej zamestnaním, ako je pracovné zaradenie, osobné číslo pridelené v rámci zamestnávateľa, vodičský preukaz, osvedčenie Národného bezpečnostného úradu, vojenské zaradenie.</w:t>
      </w:r>
    </w:p>
    <w:p w:rsidR="00EE6B21" w:rsidRPr="00014FD7" w:rsidRDefault="00EE6B21" w:rsidP="00EE6B21">
      <w:pPr>
        <w:rPr>
          <w:rFonts w:ascii="Palatino Linotype" w:hAnsi="Palatino Linotype"/>
        </w:rPr>
      </w:pPr>
    </w:p>
    <w:p w:rsidR="00EE6B21" w:rsidRPr="00014FD7" w:rsidRDefault="00EE6B21" w:rsidP="00FD321F">
      <w:pPr>
        <w:pStyle w:val="Odsekzoznamu"/>
        <w:numPr>
          <w:ilvl w:val="0"/>
          <w:numId w:val="1"/>
        </w:numPr>
        <w:rPr>
          <w:rFonts w:ascii="Palatino Linotype" w:hAnsi="Palatino Linotype"/>
          <w:b/>
        </w:rPr>
      </w:pPr>
      <w:r w:rsidRPr="00014FD7">
        <w:rPr>
          <w:rFonts w:ascii="Palatino Linotype" w:hAnsi="Palatino Linotype"/>
          <w:b/>
        </w:rPr>
        <w:t>Dotknuté osoby:</w:t>
      </w:r>
    </w:p>
    <w:p w:rsidR="00EE6B21" w:rsidRPr="00014FD7" w:rsidRDefault="00EE6B21" w:rsidP="00EE6B21">
      <w:pPr>
        <w:rPr>
          <w:rFonts w:ascii="Palatino Linotype" w:hAnsi="Palatino Linotype"/>
        </w:rPr>
      </w:pPr>
      <w:r w:rsidRPr="00014FD7">
        <w:rPr>
          <w:rFonts w:ascii="Palatino Linotype" w:hAnsi="Palatino Linotype"/>
        </w:rPr>
        <w:t>Fyzické osoby.</w:t>
      </w:r>
    </w:p>
    <w:p w:rsidR="00EE6B21" w:rsidRDefault="00EE6B21" w:rsidP="00EE6B21">
      <w:pPr>
        <w:rPr>
          <w:rFonts w:ascii="Palatino Linotype" w:hAnsi="Palatino Linotype"/>
        </w:rPr>
      </w:pPr>
    </w:p>
    <w:p w:rsidR="007A4F5E" w:rsidRDefault="007A4F5E" w:rsidP="00EE6B21">
      <w:pPr>
        <w:rPr>
          <w:rFonts w:ascii="Palatino Linotype" w:hAnsi="Palatino Linotype"/>
        </w:rPr>
      </w:pPr>
    </w:p>
    <w:p w:rsidR="007A4F5E" w:rsidRPr="00014FD7" w:rsidRDefault="007A4F5E" w:rsidP="00EE6B21">
      <w:pPr>
        <w:rPr>
          <w:rFonts w:ascii="Palatino Linotype" w:hAnsi="Palatino Linotype"/>
        </w:rPr>
      </w:pPr>
    </w:p>
    <w:p w:rsidR="00EE6B21" w:rsidRPr="00014FD7" w:rsidRDefault="00EE6B21" w:rsidP="00FD321F">
      <w:pPr>
        <w:pStyle w:val="Odsekzoznamu"/>
        <w:numPr>
          <w:ilvl w:val="0"/>
          <w:numId w:val="1"/>
        </w:numPr>
        <w:rPr>
          <w:rFonts w:ascii="Palatino Linotype" w:hAnsi="Palatino Linotype"/>
          <w:b/>
        </w:rPr>
      </w:pPr>
      <w:r w:rsidRPr="00014FD7">
        <w:rPr>
          <w:rFonts w:ascii="Palatino Linotype" w:hAnsi="Palatino Linotype"/>
          <w:b/>
        </w:rPr>
        <w:t xml:space="preserve">Lehoty uloženia osobných údajov: </w:t>
      </w:r>
    </w:p>
    <w:p w:rsidR="00EE6B21" w:rsidRPr="00014FD7" w:rsidRDefault="00EE6B21" w:rsidP="00EE6B21">
      <w:pPr>
        <w:rPr>
          <w:rFonts w:ascii="Palatino Linotype" w:hAnsi="Palatino Linotype"/>
        </w:rPr>
      </w:pPr>
      <w:r w:rsidRPr="00014FD7">
        <w:rPr>
          <w:rFonts w:ascii="Palatino Linotype" w:hAnsi="Palatino Linotype"/>
        </w:rPr>
        <w:t>Plán ochrany obyvateľstva, evakuácia – 10 rokov</w:t>
      </w:r>
    </w:p>
    <w:p w:rsidR="00EE6B21" w:rsidRPr="00014FD7" w:rsidRDefault="00EE6B21" w:rsidP="00EE6B21">
      <w:pPr>
        <w:rPr>
          <w:rFonts w:ascii="Palatino Linotype" w:hAnsi="Palatino Linotype"/>
        </w:rPr>
      </w:pPr>
      <w:r w:rsidRPr="00014FD7">
        <w:rPr>
          <w:rFonts w:ascii="Palatino Linotype" w:hAnsi="Palatino Linotype"/>
        </w:rPr>
        <w:t>Materiál civilnej ochrany a prostriedky individuálnej ochrany - 10 rokov</w:t>
      </w:r>
    </w:p>
    <w:p w:rsidR="00EE6B21" w:rsidRPr="00014FD7" w:rsidRDefault="00EE6B21" w:rsidP="00EE6B21">
      <w:pPr>
        <w:rPr>
          <w:rFonts w:ascii="Palatino Linotype" w:hAnsi="Palatino Linotype"/>
        </w:rPr>
      </w:pPr>
      <w:r w:rsidRPr="00014FD7">
        <w:rPr>
          <w:rFonts w:ascii="Palatino Linotype" w:hAnsi="Palatino Linotype"/>
        </w:rPr>
        <w:t>Mimoriadne situácie a udalosti – 10 rokov</w:t>
      </w:r>
    </w:p>
    <w:p w:rsidR="00EE6B21" w:rsidRPr="00014FD7" w:rsidRDefault="00EE6B21" w:rsidP="00EE6B21">
      <w:pPr>
        <w:rPr>
          <w:rFonts w:ascii="Palatino Linotype" w:hAnsi="Palatino Linotype"/>
        </w:rPr>
      </w:pPr>
      <w:r w:rsidRPr="00014FD7">
        <w:rPr>
          <w:rFonts w:ascii="Palatino Linotype" w:hAnsi="Palatino Linotype"/>
        </w:rPr>
        <w:t>Ochranné stavby a ukrytie – 10 rokov</w:t>
      </w:r>
    </w:p>
    <w:p w:rsidR="00EE6B21" w:rsidRPr="00014FD7" w:rsidRDefault="00EE6B21" w:rsidP="00EE6B21">
      <w:pPr>
        <w:rPr>
          <w:rFonts w:ascii="Palatino Linotype" w:hAnsi="Palatino Linotype"/>
        </w:rPr>
      </w:pPr>
      <w:r w:rsidRPr="00014FD7">
        <w:rPr>
          <w:rFonts w:ascii="Palatino Linotype" w:hAnsi="Palatino Linotype"/>
        </w:rPr>
        <w:t>Obrana a hospodárska mobilizácia - 10 rokov</w:t>
      </w:r>
    </w:p>
    <w:p w:rsidR="00EE6B21" w:rsidRPr="00014FD7" w:rsidRDefault="00EE6B21" w:rsidP="00EE6B21">
      <w:pPr>
        <w:rPr>
          <w:rFonts w:ascii="Palatino Linotype" w:hAnsi="Palatino Linotype"/>
        </w:rPr>
      </w:pPr>
      <w:r w:rsidRPr="00014FD7">
        <w:rPr>
          <w:rFonts w:ascii="Palatino Linotype" w:hAnsi="Palatino Linotype"/>
        </w:rPr>
        <w:t>Odborná príprava jednotiek CO- 10 rokov</w:t>
      </w:r>
    </w:p>
    <w:p w:rsidR="00EE6B21" w:rsidRPr="00014FD7" w:rsidRDefault="00EE6B21" w:rsidP="00EE6B21">
      <w:pPr>
        <w:rPr>
          <w:rFonts w:ascii="Palatino Linotype" w:hAnsi="Palatino Linotype"/>
        </w:rPr>
      </w:pPr>
      <w:r w:rsidRPr="00014FD7">
        <w:rPr>
          <w:rFonts w:ascii="Palatino Linotype" w:hAnsi="Palatino Linotype"/>
        </w:rPr>
        <w:t>Krízový štáb obce - zápisnice  - 10 rokov</w:t>
      </w:r>
    </w:p>
    <w:p w:rsidR="00EE6B21" w:rsidRPr="00014FD7" w:rsidRDefault="00EE6B21" w:rsidP="00EE6B21">
      <w:pPr>
        <w:rPr>
          <w:rFonts w:ascii="Palatino Linotype" w:hAnsi="Palatino Linotype"/>
        </w:rPr>
      </w:pPr>
      <w:r w:rsidRPr="00014FD7">
        <w:rPr>
          <w:rFonts w:ascii="Palatino Linotype" w:hAnsi="Palatino Linotype"/>
        </w:rPr>
        <w:t xml:space="preserve">Protipožiarna prevencia:  </w:t>
      </w:r>
    </w:p>
    <w:p w:rsidR="00EE6B21" w:rsidRPr="00014FD7" w:rsidRDefault="00EE6B21" w:rsidP="00EE6B21">
      <w:pPr>
        <w:rPr>
          <w:rFonts w:ascii="Palatino Linotype" w:hAnsi="Palatino Linotype"/>
        </w:rPr>
      </w:pPr>
      <w:r w:rsidRPr="00014FD7">
        <w:rPr>
          <w:rFonts w:ascii="Palatino Linotype" w:hAnsi="Palatino Linotype"/>
        </w:rPr>
        <w:t>Plán kontrol - 10 rokov</w:t>
      </w:r>
    </w:p>
    <w:p w:rsidR="00EE6B21" w:rsidRPr="00014FD7" w:rsidRDefault="00EE6B21" w:rsidP="00EE6B21">
      <w:pPr>
        <w:rPr>
          <w:rFonts w:ascii="Palatino Linotype" w:hAnsi="Palatino Linotype"/>
        </w:rPr>
      </w:pPr>
      <w:r w:rsidRPr="00014FD7">
        <w:rPr>
          <w:rFonts w:ascii="Palatino Linotype" w:hAnsi="Palatino Linotype"/>
        </w:rPr>
        <w:t>Kontrolná činnosť - 10 rokov</w:t>
      </w:r>
    </w:p>
    <w:p w:rsidR="00EE6B21" w:rsidRPr="00014FD7" w:rsidRDefault="00EE6B21" w:rsidP="00EE6B21">
      <w:pPr>
        <w:rPr>
          <w:rFonts w:ascii="Palatino Linotype" w:hAnsi="Palatino Linotype"/>
        </w:rPr>
      </w:pPr>
      <w:r w:rsidRPr="00014FD7">
        <w:rPr>
          <w:rFonts w:ascii="Palatino Linotype" w:hAnsi="Palatino Linotype"/>
        </w:rPr>
        <w:t>Preventívno – výchovná činnosť, školenia - 3 roky</w:t>
      </w:r>
    </w:p>
    <w:p w:rsidR="00EE6B21" w:rsidRPr="00014FD7" w:rsidRDefault="00EE6B21" w:rsidP="00EE6B21">
      <w:pPr>
        <w:rPr>
          <w:rFonts w:ascii="Palatino Linotype" w:hAnsi="Palatino Linotype"/>
        </w:rPr>
      </w:pPr>
      <w:r w:rsidRPr="00014FD7">
        <w:rPr>
          <w:rFonts w:ascii="Palatino Linotype" w:hAnsi="Palatino Linotype"/>
        </w:rPr>
        <w:t>Požiare Záznamy o priebehu zásahu - 10 rokov</w:t>
      </w:r>
    </w:p>
    <w:p w:rsidR="00EE6B21" w:rsidRPr="00014FD7" w:rsidRDefault="00EE6B21" w:rsidP="00EE6B21">
      <w:pPr>
        <w:rPr>
          <w:rFonts w:ascii="Palatino Linotype" w:hAnsi="Palatino Linotype"/>
        </w:rPr>
      </w:pPr>
      <w:r w:rsidRPr="00014FD7">
        <w:rPr>
          <w:rFonts w:ascii="Palatino Linotype" w:hAnsi="Palatino Linotype"/>
        </w:rPr>
        <w:t xml:space="preserve">Rozbory požiarovosti - 5 rokov </w:t>
      </w:r>
    </w:p>
    <w:p w:rsidR="00EE6B21" w:rsidRPr="00014FD7" w:rsidRDefault="00EE6B21" w:rsidP="00EE6B21">
      <w:pPr>
        <w:rPr>
          <w:rFonts w:ascii="Palatino Linotype" w:hAnsi="Palatino Linotype"/>
        </w:rPr>
      </w:pPr>
      <w:r w:rsidRPr="00014FD7">
        <w:rPr>
          <w:rFonts w:ascii="Palatino Linotype" w:hAnsi="Palatino Linotype"/>
        </w:rPr>
        <w:t>Kniha požiarov – 10 rokov</w:t>
      </w:r>
    </w:p>
    <w:p w:rsidR="00EE6B21" w:rsidRPr="00014FD7" w:rsidRDefault="00EE6B21" w:rsidP="00EE6B21">
      <w:pPr>
        <w:rPr>
          <w:rFonts w:ascii="Palatino Linotype" w:hAnsi="Palatino Linotype"/>
        </w:rPr>
      </w:pPr>
      <w:r w:rsidRPr="00014FD7">
        <w:rPr>
          <w:rFonts w:ascii="Palatino Linotype" w:hAnsi="Palatino Linotype"/>
        </w:rPr>
        <w:t>Výcvik - 10 rokov</w:t>
      </w:r>
    </w:p>
    <w:p w:rsidR="00EE6B21" w:rsidRPr="00014FD7" w:rsidRDefault="00EE6B21" w:rsidP="00EE6B21">
      <w:pPr>
        <w:rPr>
          <w:rFonts w:ascii="Palatino Linotype" w:hAnsi="Palatino Linotype"/>
        </w:rPr>
      </w:pPr>
      <w:r w:rsidRPr="00014FD7">
        <w:rPr>
          <w:rFonts w:ascii="Palatino Linotype" w:hAnsi="Palatino Linotype"/>
        </w:rPr>
        <w:t>Hasičská služba - 10 rokov</w:t>
      </w:r>
    </w:p>
    <w:p w:rsidR="00EE6B21" w:rsidRPr="00014FD7" w:rsidRDefault="00EE6B21" w:rsidP="00EE6B21">
      <w:pPr>
        <w:rPr>
          <w:rFonts w:ascii="Palatino Linotype" w:hAnsi="Palatino Linotype"/>
        </w:rPr>
      </w:pPr>
      <w:r w:rsidRPr="00014FD7">
        <w:rPr>
          <w:rFonts w:ascii="Palatino Linotype" w:hAnsi="Palatino Linotype"/>
        </w:rPr>
        <w:t>Organizovanie súťaží - 10 rokov</w:t>
      </w:r>
    </w:p>
    <w:p w:rsidR="00EE6B21" w:rsidRPr="00014FD7" w:rsidRDefault="00EE6B21" w:rsidP="00EE6B21">
      <w:pPr>
        <w:rPr>
          <w:rFonts w:ascii="Palatino Linotype" w:hAnsi="Palatino Linotype"/>
        </w:rPr>
      </w:pPr>
      <w:r w:rsidRPr="00014FD7">
        <w:rPr>
          <w:rFonts w:ascii="Palatino Linotype" w:hAnsi="Palatino Linotype"/>
        </w:rPr>
        <w:t>Bezpečnostné a iné mimoriadne opatrenia – 10 rokov</w:t>
      </w:r>
    </w:p>
    <w:p w:rsidR="00EE6B21" w:rsidRPr="00014FD7" w:rsidRDefault="00EE6B21" w:rsidP="00EE6B21">
      <w:pPr>
        <w:rPr>
          <w:rFonts w:ascii="Palatino Linotype" w:hAnsi="Palatino Linotype"/>
        </w:rPr>
      </w:pPr>
    </w:p>
    <w:p w:rsidR="00EE6B21" w:rsidRPr="00014FD7" w:rsidRDefault="00EE6B21" w:rsidP="00FD321F">
      <w:pPr>
        <w:pStyle w:val="Odsekzoznamu"/>
        <w:numPr>
          <w:ilvl w:val="0"/>
          <w:numId w:val="1"/>
        </w:numPr>
        <w:rPr>
          <w:rFonts w:ascii="Palatino Linotype" w:hAnsi="Palatino Linotype"/>
          <w:b/>
        </w:rPr>
      </w:pPr>
      <w:r w:rsidRPr="00014FD7">
        <w:rPr>
          <w:rFonts w:ascii="Palatino Linotype" w:hAnsi="Palatino Linotype"/>
          <w:b/>
        </w:rPr>
        <w:t>Oprávnený záujem prevádzkovateľa:</w:t>
      </w:r>
    </w:p>
    <w:p w:rsidR="00EE6B21" w:rsidRPr="00014FD7" w:rsidRDefault="00EE6B21" w:rsidP="00EE6B21">
      <w:pPr>
        <w:rPr>
          <w:rFonts w:ascii="Palatino Linotype" w:hAnsi="Palatino Linotype"/>
        </w:rPr>
      </w:pPr>
      <w:r w:rsidRPr="00014FD7">
        <w:rPr>
          <w:rFonts w:ascii="Palatino Linotype" w:hAnsi="Palatino Linotype"/>
        </w:rPr>
        <w:t>Spracúvanie osobných údajov za účelom oprávnených záujmov prevádzkovateľa sa nevykonáva.</w:t>
      </w:r>
    </w:p>
    <w:p w:rsidR="00FD321F" w:rsidRPr="00014FD7" w:rsidRDefault="0034471A" w:rsidP="0034471A">
      <w:pPr>
        <w:shd w:val="clear" w:color="auto" w:fill="FFFFFF"/>
        <w:tabs>
          <w:tab w:val="left" w:pos="5100"/>
        </w:tabs>
        <w:spacing w:after="0" w:line="330" w:lineRule="atLeast"/>
        <w:outlineLvl w:val="2"/>
        <w:rPr>
          <w:rFonts w:ascii="Palatino Linotype" w:hAnsi="Palatino Linotype"/>
        </w:rPr>
      </w:pPr>
      <w:r w:rsidRPr="00014FD7">
        <w:rPr>
          <w:rFonts w:ascii="Palatino Linotype" w:eastAsia="Times New Roman" w:hAnsi="Palatino Linotype" w:cstheme="minorHAnsi"/>
          <w:bCs/>
          <w:lang w:eastAsia="sk-SK"/>
        </w:rPr>
        <w:tab/>
      </w:r>
    </w:p>
    <w:p w:rsidR="00EE6B21" w:rsidRPr="00014FD7" w:rsidRDefault="00EE6B21" w:rsidP="00FD321F">
      <w:pPr>
        <w:pStyle w:val="Odsekzoznamu"/>
        <w:numPr>
          <w:ilvl w:val="0"/>
          <w:numId w:val="1"/>
        </w:numPr>
        <w:rPr>
          <w:rFonts w:ascii="Palatino Linotype" w:hAnsi="Palatino Linotype"/>
          <w:b/>
        </w:rPr>
      </w:pPr>
      <w:r w:rsidRPr="00014FD7">
        <w:rPr>
          <w:rFonts w:ascii="Palatino Linotype" w:hAnsi="Palatino Linotype"/>
          <w:b/>
        </w:rPr>
        <w:lastRenderedPageBreak/>
        <w:t>Postup osobných údajov do tretích krajín:</w:t>
      </w:r>
    </w:p>
    <w:p w:rsidR="00EE6B21" w:rsidRPr="00014FD7" w:rsidRDefault="00EE6B21" w:rsidP="00EE6B21">
      <w:pPr>
        <w:rPr>
          <w:rFonts w:ascii="Palatino Linotype" w:hAnsi="Palatino Linotype"/>
        </w:rPr>
      </w:pPr>
      <w:r w:rsidRPr="00014FD7">
        <w:rPr>
          <w:rFonts w:ascii="Palatino Linotype" w:hAnsi="Palatino Linotype"/>
        </w:rPr>
        <w:t>Osobné údaje sa do tretích krajín neposkytujú.</w:t>
      </w:r>
    </w:p>
    <w:p w:rsidR="00EE6B21" w:rsidRPr="00014FD7" w:rsidRDefault="00EE6B21" w:rsidP="00EE6B21">
      <w:pPr>
        <w:rPr>
          <w:rFonts w:ascii="Palatino Linotype" w:hAnsi="Palatino Linotype"/>
        </w:rPr>
      </w:pPr>
    </w:p>
    <w:p w:rsidR="00EE6B21" w:rsidRPr="00014FD7" w:rsidRDefault="00EE6B21" w:rsidP="00FD321F">
      <w:pPr>
        <w:pStyle w:val="Odsekzoznamu"/>
        <w:numPr>
          <w:ilvl w:val="0"/>
          <w:numId w:val="1"/>
        </w:numPr>
        <w:rPr>
          <w:rFonts w:ascii="Palatino Linotype" w:hAnsi="Palatino Linotype"/>
          <w:b/>
        </w:rPr>
      </w:pPr>
      <w:r w:rsidRPr="00014FD7">
        <w:rPr>
          <w:rFonts w:ascii="Palatino Linotype" w:hAnsi="Palatino Linotype"/>
          <w:b/>
        </w:rPr>
        <w:t>Technické a organizačné bezpečnostné opatrenia:</w:t>
      </w:r>
    </w:p>
    <w:p w:rsidR="00EE6B21" w:rsidRPr="00014FD7" w:rsidRDefault="00EE6B21" w:rsidP="00EE6B21">
      <w:pPr>
        <w:rPr>
          <w:rFonts w:ascii="Palatino Linotype" w:hAnsi="Palatino Linotype"/>
        </w:rPr>
      </w:pPr>
      <w:r w:rsidRPr="00014FD7">
        <w:rPr>
          <w:rFonts w:ascii="Palatino Linotype" w:hAnsi="Palatino Linotype"/>
        </w:rPr>
        <w:t xml:space="preserve">Organizačné a technické opatrenia na ochranu osobných údajov sú spracované v interných predpisoch prevádzkovateľa. Bezpečnostné opatrenia sú vykonávané v oblastiach fyzickej a objektovej bezpečnosti, informačnej bezpečnosti, šifrovej ochrany informácií, personálnej, administratívnej bezpečnosti a ochrany citlivých informácií, s presne definovanými právomocami a povinnosťami uvedenými v bezpečnostnej politike. </w:t>
      </w:r>
    </w:p>
    <w:p w:rsidR="00EE6B21" w:rsidRPr="00014FD7" w:rsidRDefault="00EE6B21" w:rsidP="00EE6B21">
      <w:pPr>
        <w:rPr>
          <w:rFonts w:ascii="Palatino Linotype" w:hAnsi="Palatino Linotype"/>
          <w:b/>
        </w:rPr>
      </w:pPr>
    </w:p>
    <w:p w:rsidR="00EE6B21" w:rsidRPr="00014FD7" w:rsidRDefault="00EE6B21" w:rsidP="00FD321F">
      <w:pPr>
        <w:pStyle w:val="Odsekzoznamu"/>
        <w:numPr>
          <w:ilvl w:val="0"/>
          <w:numId w:val="1"/>
        </w:numPr>
        <w:rPr>
          <w:rFonts w:ascii="Palatino Linotype" w:hAnsi="Palatino Linotype"/>
          <w:b/>
        </w:rPr>
      </w:pPr>
      <w:r w:rsidRPr="00014FD7">
        <w:rPr>
          <w:rFonts w:ascii="Palatino Linotype" w:hAnsi="Palatino Linotype"/>
          <w:b/>
        </w:rPr>
        <w:t>Kategória osobných údajov:</w:t>
      </w:r>
    </w:p>
    <w:p w:rsidR="00B63931" w:rsidRPr="00014FD7" w:rsidRDefault="00EE6B21" w:rsidP="00EE6B21">
      <w:pPr>
        <w:rPr>
          <w:rFonts w:ascii="Palatino Linotype" w:hAnsi="Palatino Linotype"/>
        </w:rPr>
      </w:pPr>
      <w:r w:rsidRPr="00014FD7">
        <w:rPr>
          <w:rFonts w:ascii="Palatino Linotype" w:hAnsi="Palatino Linotype"/>
        </w:rPr>
        <w:t>Bežné osobné údaje.</w:t>
      </w:r>
    </w:p>
    <w:p w:rsidR="00635D39" w:rsidRPr="00014FD7" w:rsidRDefault="00635D39" w:rsidP="00635D39">
      <w:pPr>
        <w:rPr>
          <w:rFonts w:ascii="Palatino Linotype" w:hAnsi="Palatino Linotype"/>
        </w:rPr>
      </w:pPr>
    </w:p>
    <w:p w:rsidR="00635D39" w:rsidRPr="00014FD7" w:rsidRDefault="00635D39" w:rsidP="00635D39">
      <w:pPr>
        <w:pStyle w:val="Odsekzoznamu"/>
        <w:numPr>
          <w:ilvl w:val="0"/>
          <w:numId w:val="1"/>
        </w:numPr>
        <w:rPr>
          <w:rFonts w:ascii="Palatino Linotype" w:hAnsi="Palatino Linotype"/>
          <w:b/>
        </w:rPr>
      </w:pPr>
      <w:r w:rsidRPr="00014FD7">
        <w:rPr>
          <w:rFonts w:ascii="Palatino Linotype" w:hAnsi="Palatino Linotype"/>
          <w:b/>
        </w:rPr>
        <w:t>Príjemcovia osobných údajov (tretie strany):</w:t>
      </w:r>
    </w:p>
    <w:p w:rsidR="00635D39" w:rsidRPr="00014FD7" w:rsidRDefault="00635D39" w:rsidP="00635D39">
      <w:pPr>
        <w:pStyle w:val="Odsekzoznamu"/>
        <w:rPr>
          <w:rFonts w:ascii="Palatino Linotype" w:hAnsi="Palatino Linotype"/>
          <w:b/>
        </w:rPr>
      </w:pPr>
    </w:p>
    <w:tbl>
      <w:tblPr>
        <w:tblStyle w:val="Mriekatabuky"/>
        <w:tblW w:w="0" w:type="auto"/>
        <w:tblLook w:val="04A0" w:firstRow="1" w:lastRow="0" w:firstColumn="1" w:lastColumn="0" w:noHBand="0" w:noVBand="1"/>
      </w:tblPr>
      <w:tblGrid>
        <w:gridCol w:w="4531"/>
        <w:gridCol w:w="4531"/>
      </w:tblGrid>
      <w:tr w:rsidR="00635D39" w:rsidRPr="00014FD7" w:rsidTr="00747162">
        <w:tc>
          <w:tcPr>
            <w:tcW w:w="4531" w:type="dxa"/>
            <w:shd w:val="clear" w:color="auto" w:fill="FFF2CC" w:themeFill="accent4" w:themeFillTint="33"/>
          </w:tcPr>
          <w:p w:rsidR="00635D39" w:rsidRPr="00014FD7" w:rsidRDefault="00635D39" w:rsidP="00747162">
            <w:pPr>
              <w:jc w:val="center"/>
              <w:rPr>
                <w:rFonts w:ascii="Palatino Linotype" w:hAnsi="Palatino Linotype"/>
              </w:rPr>
            </w:pPr>
            <w:r w:rsidRPr="00014FD7">
              <w:rPr>
                <w:rFonts w:ascii="Palatino Linotype" w:hAnsi="Palatino Linotype"/>
              </w:rPr>
              <w:t>Tretie strany</w:t>
            </w:r>
          </w:p>
        </w:tc>
        <w:tc>
          <w:tcPr>
            <w:tcW w:w="4531" w:type="dxa"/>
            <w:shd w:val="clear" w:color="auto" w:fill="FFF2CC" w:themeFill="accent4" w:themeFillTint="33"/>
          </w:tcPr>
          <w:p w:rsidR="00635D39" w:rsidRPr="00014FD7" w:rsidRDefault="00635D39" w:rsidP="00747162">
            <w:pPr>
              <w:jc w:val="center"/>
              <w:rPr>
                <w:rFonts w:ascii="Palatino Linotype" w:hAnsi="Palatino Linotype"/>
              </w:rPr>
            </w:pPr>
            <w:r w:rsidRPr="00014FD7">
              <w:rPr>
                <w:rFonts w:ascii="Palatino Linotype" w:hAnsi="Palatino Linotype"/>
              </w:rPr>
              <w:t>Právny základ</w:t>
            </w:r>
          </w:p>
        </w:tc>
      </w:tr>
      <w:tr w:rsidR="00635D39" w:rsidRPr="00014FD7" w:rsidTr="00747162">
        <w:tc>
          <w:tcPr>
            <w:tcW w:w="4531" w:type="dxa"/>
            <w:shd w:val="clear" w:color="auto" w:fill="DEEAF6" w:themeFill="accent1" w:themeFillTint="33"/>
          </w:tcPr>
          <w:p w:rsidR="00635D39" w:rsidRPr="00014FD7" w:rsidRDefault="00635D39" w:rsidP="00747162">
            <w:pPr>
              <w:jc w:val="both"/>
              <w:rPr>
                <w:rFonts w:ascii="Palatino Linotype" w:hAnsi="Palatino Linotype"/>
              </w:rPr>
            </w:pPr>
            <w:r w:rsidRPr="00014FD7">
              <w:rPr>
                <w:rFonts w:ascii="Palatino Linotype" w:hAnsi="Palatino Linotype"/>
              </w:rPr>
              <w:t>Iný oprávnený subjekt</w:t>
            </w:r>
          </w:p>
        </w:tc>
        <w:tc>
          <w:tcPr>
            <w:tcW w:w="4531" w:type="dxa"/>
            <w:shd w:val="clear" w:color="auto" w:fill="DEEAF6" w:themeFill="accent1" w:themeFillTint="33"/>
          </w:tcPr>
          <w:p w:rsidR="00635D39" w:rsidRPr="00014FD7" w:rsidRDefault="00635D39" w:rsidP="00747162">
            <w:pPr>
              <w:jc w:val="both"/>
              <w:rPr>
                <w:rFonts w:ascii="Palatino Linotype" w:hAnsi="Palatino Linotype"/>
              </w:rPr>
            </w:pPr>
            <w:r w:rsidRPr="00014FD7">
              <w:rPr>
                <w:rFonts w:ascii="Palatino Linotype" w:hAnsi="Palatino Linotype"/>
              </w:rPr>
              <w:t>Na základe článku 6 ods. 1 písm. c) Nariadenia Európskeho Parlamentu a Rady (EÚ) 2016/679 o ochrane fyzických osôb pri spracúvaní osobných údajov a o voľnom pohybe takýchto údajov, ktorým sa zrušuje smernica 95/46/ES (všeobecné nariadenie o ochrane údajov).</w:t>
            </w:r>
          </w:p>
        </w:tc>
      </w:tr>
      <w:tr w:rsidR="00635D39" w:rsidRPr="00014FD7" w:rsidTr="00747162">
        <w:tc>
          <w:tcPr>
            <w:tcW w:w="4531" w:type="dxa"/>
            <w:shd w:val="clear" w:color="auto" w:fill="DEEAF6" w:themeFill="accent1" w:themeFillTint="33"/>
          </w:tcPr>
          <w:p w:rsidR="00635D39" w:rsidRPr="00014FD7" w:rsidRDefault="00635D39" w:rsidP="00747162">
            <w:pPr>
              <w:jc w:val="both"/>
              <w:rPr>
                <w:rFonts w:ascii="Palatino Linotype" w:hAnsi="Palatino Linotype"/>
              </w:rPr>
            </w:pPr>
            <w:r w:rsidRPr="00014FD7">
              <w:rPr>
                <w:rFonts w:ascii="Palatino Linotype" w:hAnsi="Palatino Linotype"/>
              </w:rPr>
              <w:t>Ministerstvo hospodárstva</w:t>
            </w:r>
          </w:p>
        </w:tc>
        <w:tc>
          <w:tcPr>
            <w:tcW w:w="4531" w:type="dxa"/>
            <w:shd w:val="clear" w:color="auto" w:fill="DEEAF6" w:themeFill="accent1" w:themeFillTint="33"/>
          </w:tcPr>
          <w:p w:rsidR="00635D39" w:rsidRPr="00014FD7" w:rsidRDefault="00635D39" w:rsidP="00747162">
            <w:pPr>
              <w:jc w:val="both"/>
              <w:rPr>
                <w:rFonts w:ascii="Palatino Linotype" w:hAnsi="Palatino Linotype"/>
              </w:rPr>
            </w:pPr>
            <w:r w:rsidRPr="00014FD7">
              <w:rPr>
                <w:rFonts w:ascii="Palatino Linotype" w:hAnsi="Palatino Linotype"/>
              </w:rPr>
              <w:t>na základe zákona č. 179/2011 Z. z. Zákon o hospodárskej mobilizácii a o zmene a doplnení zákona č. 387/2002 Z. z. o riadení štátu v krízových situáciách mimo času vojny a vojnového stavu v znení neskorších predpisov.</w:t>
            </w:r>
          </w:p>
        </w:tc>
      </w:tr>
      <w:tr w:rsidR="00635D39" w:rsidRPr="00014FD7" w:rsidTr="00747162">
        <w:tc>
          <w:tcPr>
            <w:tcW w:w="4531" w:type="dxa"/>
            <w:shd w:val="clear" w:color="auto" w:fill="DEEAF6" w:themeFill="accent1" w:themeFillTint="33"/>
          </w:tcPr>
          <w:p w:rsidR="00635D39" w:rsidRPr="00014FD7" w:rsidRDefault="00635D39" w:rsidP="00747162">
            <w:pPr>
              <w:jc w:val="both"/>
              <w:rPr>
                <w:rFonts w:ascii="Palatino Linotype" w:hAnsi="Palatino Linotype"/>
              </w:rPr>
            </w:pPr>
            <w:r w:rsidRPr="00014FD7">
              <w:rPr>
                <w:rFonts w:ascii="Palatino Linotype" w:hAnsi="Palatino Linotype"/>
              </w:rPr>
              <w:t>Ministerstvo obrany</w:t>
            </w:r>
          </w:p>
        </w:tc>
        <w:tc>
          <w:tcPr>
            <w:tcW w:w="4531" w:type="dxa"/>
            <w:shd w:val="clear" w:color="auto" w:fill="DEEAF6" w:themeFill="accent1" w:themeFillTint="33"/>
          </w:tcPr>
          <w:p w:rsidR="00635D39" w:rsidRPr="00014FD7" w:rsidRDefault="00635D39" w:rsidP="00747162">
            <w:pPr>
              <w:jc w:val="both"/>
              <w:rPr>
                <w:rFonts w:ascii="Palatino Linotype" w:hAnsi="Palatino Linotype"/>
              </w:rPr>
            </w:pPr>
            <w:r w:rsidRPr="00014FD7">
              <w:rPr>
                <w:rFonts w:ascii="Palatino Linotype" w:hAnsi="Palatino Linotype"/>
              </w:rPr>
              <w:t>na základe zákona č. 179/2011 Z. z. Zákon o hospodárskej mobilizácii a o zmene a doplnení zákona č. 387/2002 Z. z. o riadení štátu v krízových situáciách mimo času vojny a vojnového stavu v znení neskorších predpisov.</w:t>
            </w:r>
          </w:p>
        </w:tc>
      </w:tr>
      <w:tr w:rsidR="00635D39" w:rsidRPr="00014FD7" w:rsidTr="00747162">
        <w:tc>
          <w:tcPr>
            <w:tcW w:w="4531" w:type="dxa"/>
            <w:shd w:val="clear" w:color="auto" w:fill="DEEAF6" w:themeFill="accent1" w:themeFillTint="33"/>
          </w:tcPr>
          <w:p w:rsidR="00635D39" w:rsidRPr="00014FD7" w:rsidRDefault="00635D39" w:rsidP="00747162">
            <w:pPr>
              <w:jc w:val="both"/>
              <w:rPr>
                <w:rFonts w:ascii="Palatino Linotype" w:hAnsi="Palatino Linotype"/>
              </w:rPr>
            </w:pPr>
            <w:r w:rsidRPr="00014FD7">
              <w:rPr>
                <w:rFonts w:ascii="Palatino Linotype" w:hAnsi="Palatino Linotype"/>
              </w:rPr>
              <w:t>Ministerstvo vnútra</w:t>
            </w:r>
          </w:p>
        </w:tc>
        <w:tc>
          <w:tcPr>
            <w:tcW w:w="4531" w:type="dxa"/>
            <w:shd w:val="clear" w:color="auto" w:fill="DEEAF6" w:themeFill="accent1" w:themeFillTint="33"/>
          </w:tcPr>
          <w:p w:rsidR="00635D39" w:rsidRPr="00014FD7" w:rsidRDefault="00635D39" w:rsidP="00747162">
            <w:pPr>
              <w:rPr>
                <w:rFonts w:ascii="Palatino Linotype" w:hAnsi="Palatino Linotype"/>
              </w:rPr>
            </w:pPr>
            <w:r w:rsidRPr="00014FD7">
              <w:rPr>
                <w:rFonts w:ascii="Palatino Linotype" w:hAnsi="Palatino Linotype"/>
              </w:rPr>
              <w:t xml:space="preserve">na základe zákona č. 179/2011 Z. z. Zákon o </w:t>
            </w:r>
            <w:r w:rsidRPr="00014FD7">
              <w:rPr>
                <w:rFonts w:ascii="Palatino Linotype" w:hAnsi="Palatino Linotype"/>
              </w:rPr>
              <w:lastRenderedPageBreak/>
              <w:t>hospodárskej mobilizácii a o zmene a doplnení zákona č. 387/2002 Z. z. o riadení štátu v krízových situáciách mimo času vojny a vojnového stavu v znení neskorších predpisov.</w:t>
            </w:r>
          </w:p>
        </w:tc>
      </w:tr>
      <w:tr w:rsidR="00635D39" w:rsidRPr="00014FD7" w:rsidTr="00747162">
        <w:tc>
          <w:tcPr>
            <w:tcW w:w="4531" w:type="dxa"/>
            <w:shd w:val="clear" w:color="auto" w:fill="DEEAF6" w:themeFill="accent1" w:themeFillTint="33"/>
          </w:tcPr>
          <w:p w:rsidR="00635D39" w:rsidRPr="00014FD7" w:rsidRDefault="00635D39" w:rsidP="00747162">
            <w:pPr>
              <w:jc w:val="both"/>
              <w:rPr>
                <w:rFonts w:ascii="Palatino Linotype" w:hAnsi="Palatino Linotype"/>
              </w:rPr>
            </w:pPr>
            <w:r w:rsidRPr="00014FD7">
              <w:rPr>
                <w:rFonts w:ascii="Palatino Linotype" w:hAnsi="Palatino Linotype"/>
              </w:rPr>
              <w:lastRenderedPageBreak/>
              <w:t>Ministerstvo zdravotníctva</w:t>
            </w:r>
          </w:p>
        </w:tc>
        <w:tc>
          <w:tcPr>
            <w:tcW w:w="4531" w:type="dxa"/>
            <w:shd w:val="clear" w:color="auto" w:fill="DEEAF6" w:themeFill="accent1" w:themeFillTint="33"/>
          </w:tcPr>
          <w:p w:rsidR="00635D39" w:rsidRPr="00014FD7" w:rsidRDefault="00635D39" w:rsidP="00747162">
            <w:pPr>
              <w:rPr>
                <w:rFonts w:ascii="Palatino Linotype" w:hAnsi="Palatino Linotype"/>
              </w:rPr>
            </w:pPr>
            <w:r w:rsidRPr="00014FD7">
              <w:rPr>
                <w:rFonts w:ascii="Palatino Linotype" w:hAnsi="Palatino Linotype"/>
              </w:rPr>
              <w:t>na základe zákona č. 179/2011 Z. z. Zákon o hospodárskej mobilizácii a o zmene a doplnení zákona č. 387/2002 Z. z. o riadení štátu v krízových situáciách mimo času vojny a vojnového stavu v znení neskorších predpisov.</w:t>
            </w:r>
          </w:p>
        </w:tc>
      </w:tr>
      <w:tr w:rsidR="00635D39" w:rsidRPr="00014FD7" w:rsidTr="00747162">
        <w:tc>
          <w:tcPr>
            <w:tcW w:w="4531" w:type="dxa"/>
            <w:shd w:val="clear" w:color="auto" w:fill="DEEAF6" w:themeFill="accent1" w:themeFillTint="33"/>
          </w:tcPr>
          <w:p w:rsidR="00635D39" w:rsidRPr="00014FD7" w:rsidRDefault="00635D39" w:rsidP="00747162">
            <w:pPr>
              <w:jc w:val="both"/>
              <w:rPr>
                <w:rFonts w:ascii="Palatino Linotype" w:hAnsi="Palatino Linotype"/>
              </w:rPr>
            </w:pPr>
            <w:r w:rsidRPr="00014FD7">
              <w:rPr>
                <w:rFonts w:ascii="Palatino Linotype" w:hAnsi="Palatino Linotype"/>
              </w:rPr>
              <w:t>Ministerstvo financií</w:t>
            </w:r>
          </w:p>
        </w:tc>
        <w:tc>
          <w:tcPr>
            <w:tcW w:w="4531" w:type="dxa"/>
            <w:shd w:val="clear" w:color="auto" w:fill="DEEAF6" w:themeFill="accent1" w:themeFillTint="33"/>
          </w:tcPr>
          <w:p w:rsidR="00635D39" w:rsidRPr="00014FD7" w:rsidRDefault="00635D39" w:rsidP="00747162">
            <w:pPr>
              <w:rPr>
                <w:rFonts w:ascii="Palatino Linotype" w:hAnsi="Palatino Linotype"/>
              </w:rPr>
            </w:pPr>
            <w:r w:rsidRPr="00014FD7">
              <w:rPr>
                <w:rFonts w:ascii="Palatino Linotype" w:hAnsi="Palatino Linotype"/>
              </w:rPr>
              <w:t>na základe zákona č. 179/2011 Z. z. Zákon o hospodárskej mobilizácii a o zmene a doplnení zákona č. 387/2002 Z. z. o riadení štátu v krízových situáciách mimo času vojny a vojnového stavu v znení neskorších predpisov.</w:t>
            </w:r>
          </w:p>
        </w:tc>
      </w:tr>
      <w:tr w:rsidR="00635D39" w:rsidRPr="00014FD7" w:rsidTr="00747162">
        <w:tc>
          <w:tcPr>
            <w:tcW w:w="4531" w:type="dxa"/>
            <w:shd w:val="clear" w:color="auto" w:fill="DEEAF6" w:themeFill="accent1" w:themeFillTint="33"/>
          </w:tcPr>
          <w:p w:rsidR="00635D39" w:rsidRPr="00014FD7" w:rsidRDefault="00635D39" w:rsidP="00747162">
            <w:pPr>
              <w:jc w:val="both"/>
              <w:rPr>
                <w:rFonts w:ascii="Palatino Linotype" w:hAnsi="Palatino Linotype"/>
              </w:rPr>
            </w:pPr>
            <w:r w:rsidRPr="00014FD7">
              <w:rPr>
                <w:rFonts w:ascii="Palatino Linotype" w:hAnsi="Palatino Linotype"/>
              </w:rPr>
              <w:t>Ministerstvo práce sociálnych vecí a rodiny</w:t>
            </w:r>
          </w:p>
        </w:tc>
        <w:tc>
          <w:tcPr>
            <w:tcW w:w="4531" w:type="dxa"/>
            <w:shd w:val="clear" w:color="auto" w:fill="DEEAF6" w:themeFill="accent1" w:themeFillTint="33"/>
          </w:tcPr>
          <w:p w:rsidR="00635D39" w:rsidRPr="00014FD7" w:rsidRDefault="00635D39" w:rsidP="00747162">
            <w:pPr>
              <w:rPr>
                <w:rFonts w:ascii="Palatino Linotype" w:hAnsi="Palatino Linotype"/>
              </w:rPr>
            </w:pPr>
            <w:r w:rsidRPr="00014FD7">
              <w:rPr>
                <w:rFonts w:ascii="Palatino Linotype" w:hAnsi="Palatino Linotype"/>
              </w:rPr>
              <w:t>na základe zákona č. 179/2011 Z. z. Zákon o hospodárskej mobilizácii a o zmene a doplnení zákona č. 387/2002 Z. z. o riadení štátu v krízových situáciách mimo času vojny a vojnového stavu v znení neskorších predpisov.</w:t>
            </w:r>
          </w:p>
        </w:tc>
      </w:tr>
      <w:tr w:rsidR="00635D39" w:rsidRPr="00014FD7" w:rsidTr="00747162">
        <w:tc>
          <w:tcPr>
            <w:tcW w:w="4531" w:type="dxa"/>
            <w:shd w:val="clear" w:color="auto" w:fill="DEEAF6" w:themeFill="accent1" w:themeFillTint="33"/>
          </w:tcPr>
          <w:p w:rsidR="00635D39" w:rsidRPr="00014FD7" w:rsidRDefault="00635D39" w:rsidP="00747162">
            <w:pPr>
              <w:jc w:val="both"/>
              <w:rPr>
                <w:rFonts w:ascii="Palatino Linotype" w:hAnsi="Palatino Linotype"/>
              </w:rPr>
            </w:pPr>
            <w:r w:rsidRPr="00014FD7">
              <w:rPr>
                <w:rFonts w:ascii="Palatino Linotype" w:eastAsia="Times New Roman" w:hAnsi="Palatino Linotype" w:cstheme="minorHAnsi"/>
                <w:bCs/>
                <w:lang w:eastAsia="sk-SK"/>
              </w:rPr>
              <w:t>Ústredné orgány, ktoré nie sú určené ako subjekty hospodárskej mobilizácie</w:t>
            </w:r>
          </w:p>
        </w:tc>
        <w:tc>
          <w:tcPr>
            <w:tcW w:w="4531" w:type="dxa"/>
            <w:shd w:val="clear" w:color="auto" w:fill="DEEAF6" w:themeFill="accent1" w:themeFillTint="33"/>
          </w:tcPr>
          <w:p w:rsidR="00635D39" w:rsidRPr="00014FD7" w:rsidRDefault="00635D39" w:rsidP="00747162">
            <w:pPr>
              <w:rPr>
                <w:rFonts w:ascii="Palatino Linotype" w:hAnsi="Palatino Linotype"/>
              </w:rPr>
            </w:pPr>
            <w:r w:rsidRPr="00014FD7">
              <w:rPr>
                <w:rFonts w:ascii="Palatino Linotype" w:hAnsi="Palatino Linotype"/>
              </w:rPr>
              <w:t>na základe zákona č. 179/2011 Z. z. Zákon o hospodárskej mobilizácii a o zmene a doplnení zákona č. 387/2002 Z. z. o riadení štátu v krízových situáciách mimo času vojny a vojnového stavu v znení neskorších predpisov.</w:t>
            </w:r>
          </w:p>
        </w:tc>
      </w:tr>
    </w:tbl>
    <w:p w:rsidR="00635D39" w:rsidRPr="00014FD7" w:rsidRDefault="00635D39" w:rsidP="00635D39">
      <w:pPr>
        <w:shd w:val="clear" w:color="auto" w:fill="FFFFFF"/>
        <w:tabs>
          <w:tab w:val="left" w:pos="5100"/>
        </w:tabs>
        <w:spacing w:after="0" w:line="330" w:lineRule="atLeast"/>
        <w:outlineLvl w:val="2"/>
        <w:rPr>
          <w:rFonts w:ascii="Palatino Linotype" w:hAnsi="Palatino Linotype"/>
        </w:rPr>
      </w:pPr>
      <w:r w:rsidRPr="00014FD7">
        <w:rPr>
          <w:rFonts w:ascii="Palatino Linotype" w:eastAsia="Times New Roman" w:hAnsi="Palatino Linotype" w:cstheme="minorHAnsi"/>
          <w:bCs/>
          <w:lang w:eastAsia="sk-SK"/>
        </w:rPr>
        <w:tab/>
      </w:r>
    </w:p>
    <w:p w:rsidR="000000A0" w:rsidRPr="00014FD7" w:rsidRDefault="000000A0" w:rsidP="000000A0">
      <w:pPr>
        <w:spacing w:line="276" w:lineRule="auto"/>
        <w:jc w:val="both"/>
        <w:rPr>
          <w:rFonts w:ascii="Palatino Linotype" w:hAnsi="Palatino Linotype"/>
          <w:b/>
        </w:rPr>
      </w:pPr>
    </w:p>
    <w:sectPr w:rsidR="000000A0" w:rsidRPr="00014FD7" w:rsidSect="00230D8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5B65" w:rsidRDefault="003E5B65" w:rsidP="00501D2A">
      <w:pPr>
        <w:spacing w:after="0" w:line="240" w:lineRule="auto"/>
      </w:pPr>
      <w:r>
        <w:separator/>
      </w:r>
    </w:p>
  </w:endnote>
  <w:endnote w:type="continuationSeparator" w:id="0">
    <w:p w:rsidR="003E5B65" w:rsidRDefault="003E5B65" w:rsidP="00501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5B65" w:rsidRDefault="003E5B65" w:rsidP="00501D2A">
      <w:pPr>
        <w:spacing w:after="0" w:line="240" w:lineRule="auto"/>
      </w:pPr>
      <w:r>
        <w:separator/>
      </w:r>
    </w:p>
  </w:footnote>
  <w:footnote w:type="continuationSeparator" w:id="0">
    <w:p w:rsidR="003E5B65" w:rsidRDefault="003E5B65" w:rsidP="00501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D2A" w:rsidRDefault="000000A0">
    <w:pPr>
      <w:pStyle w:val="Hlavika"/>
    </w:pPr>
    <w:r w:rsidRPr="00014FD7">
      <w:rPr>
        <w:rFonts w:ascii="Palatino Linotype" w:hAnsi="Palatino Linotype"/>
      </w:rPr>
      <w:t>Informačná povinnosť</w:t>
    </w:r>
    <w:r w:rsidR="00501D2A">
      <w:tab/>
    </w:r>
    <w:r w:rsidR="00501D2A">
      <w:tab/>
    </w:r>
    <w:r>
      <w:rPr>
        <w:noProof/>
        <w:lang w:eastAsia="sk-SK"/>
      </w:rPr>
      <w:drawing>
        <wp:inline distT="0" distB="0" distL="0" distR="0">
          <wp:extent cx="1071428" cy="1080000"/>
          <wp:effectExtent l="0" t="0" r="0" b="635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opprivac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1428" cy="108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A31C6"/>
    <w:multiLevelType w:val="hybridMultilevel"/>
    <w:tmpl w:val="C5E20A34"/>
    <w:lvl w:ilvl="0" w:tplc="041B000F">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6280CAE"/>
    <w:multiLevelType w:val="hybridMultilevel"/>
    <w:tmpl w:val="8A24EB30"/>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312F0B11"/>
    <w:multiLevelType w:val="hybridMultilevel"/>
    <w:tmpl w:val="8A24EB30"/>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413A7CDC"/>
    <w:multiLevelType w:val="hybridMultilevel"/>
    <w:tmpl w:val="D0E8F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1F52545"/>
    <w:multiLevelType w:val="hybridMultilevel"/>
    <w:tmpl w:val="CE2850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1AF7863"/>
    <w:multiLevelType w:val="hybridMultilevel"/>
    <w:tmpl w:val="D0E8F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84418EC"/>
    <w:multiLevelType w:val="hybridMultilevel"/>
    <w:tmpl w:val="8A24EB30"/>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3"/>
  </w:num>
  <w:num w:numId="2">
    <w:abstractNumId w:val="5"/>
  </w:num>
  <w:num w:numId="3">
    <w:abstractNumId w:val="0"/>
  </w:num>
  <w:num w:numId="4">
    <w:abstractNumId w:val="2"/>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6B21"/>
    <w:rsid w:val="000000A0"/>
    <w:rsid w:val="00014FD7"/>
    <w:rsid w:val="00230D86"/>
    <w:rsid w:val="0034471A"/>
    <w:rsid w:val="003E5B65"/>
    <w:rsid w:val="00501D2A"/>
    <w:rsid w:val="00635D39"/>
    <w:rsid w:val="007A4F5E"/>
    <w:rsid w:val="009D3536"/>
    <w:rsid w:val="00AD6BE5"/>
    <w:rsid w:val="00B12A87"/>
    <w:rsid w:val="00B63931"/>
    <w:rsid w:val="00D50161"/>
    <w:rsid w:val="00EE6B21"/>
    <w:rsid w:val="00FD321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1BDB3D"/>
  <w15:docId w15:val="{B6394816-F7BE-4AB4-86D8-A020F773A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0D86"/>
  </w:style>
  <w:style w:type="paragraph" w:styleId="Nadpis3">
    <w:name w:val="heading 3"/>
    <w:basedOn w:val="Normlny"/>
    <w:link w:val="Nadpis3Char"/>
    <w:uiPriority w:val="9"/>
    <w:qFormat/>
    <w:rsid w:val="00FD321F"/>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D321F"/>
    <w:pPr>
      <w:ind w:left="720"/>
      <w:contextualSpacing/>
    </w:pPr>
  </w:style>
  <w:style w:type="character" w:customStyle="1" w:styleId="Nadpis3Char">
    <w:name w:val="Nadpis 3 Char"/>
    <w:basedOn w:val="Predvolenpsmoodseku"/>
    <w:link w:val="Nadpis3"/>
    <w:uiPriority w:val="9"/>
    <w:rsid w:val="00FD321F"/>
    <w:rPr>
      <w:rFonts w:ascii="Times New Roman" w:eastAsia="Times New Roman" w:hAnsi="Times New Roman" w:cs="Times New Roman"/>
      <w:b/>
      <w:bCs/>
      <w:sz w:val="27"/>
      <w:szCs w:val="27"/>
      <w:lang w:eastAsia="sk-SK"/>
    </w:rPr>
  </w:style>
  <w:style w:type="paragraph" w:styleId="Hlavika">
    <w:name w:val="header"/>
    <w:basedOn w:val="Normlny"/>
    <w:link w:val="HlavikaChar"/>
    <w:uiPriority w:val="99"/>
    <w:unhideWhenUsed/>
    <w:rsid w:val="00501D2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01D2A"/>
  </w:style>
  <w:style w:type="paragraph" w:styleId="Pta">
    <w:name w:val="footer"/>
    <w:basedOn w:val="Normlny"/>
    <w:link w:val="PtaChar"/>
    <w:uiPriority w:val="99"/>
    <w:unhideWhenUsed/>
    <w:rsid w:val="00501D2A"/>
    <w:pPr>
      <w:tabs>
        <w:tab w:val="center" w:pos="4536"/>
        <w:tab w:val="right" w:pos="9072"/>
      </w:tabs>
      <w:spacing w:after="0" w:line="240" w:lineRule="auto"/>
    </w:pPr>
  </w:style>
  <w:style w:type="character" w:customStyle="1" w:styleId="PtaChar">
    <w:name w:val="Päta Char"/>
    <w:basedOn w:val="Predvolenpsmoodseku"/>
    <w:link w:val="Pta"/>
    <w:uiPriority w:val="99"/>
    <w:rsid w:val="00501D2A"/>
  </w:style>
  <w:style w:type="table" w:styleId="Mriekatabuky">
    <w:name w:val="Table Grid"/>
    <w:basedOn w:val="Normlnatabuka"/>
    <w:uiPriority w:val="39"/>
    <w:rsid w:val="00501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0000A0"/>
    <w:rPr>
      <w:color w:val="0563C1" w:themeColor="hyperlink"/>
      <w:u w:val="single"/>
    </w:rPr>
  </w:style>
  <w:style w:type="paragraph" w:styleId="Textbubliny">
    <w:name w:val="Balloon Text"/>
    <w:basedOn w:val="Normlny"/>
    <w:link w:val="TextbublinyChar"/>
    <w:uiPriority w:val="99"/>
    <w:semiHidden/>
    <w:unhideWhenUsed/>
    <w:rsid w:val="009D353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D35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18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1078</Words>
  <Characters>6150</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Baška</dc:creator>
  <cp:keywords/>
  <dc:description/>
  <cp:lastModifiedBy>suta peter</cp:lastModifiedBy>
  <cp:revision>5</cp:revision>
  <dcterms:created xsi:type="dcterms:W3CDTF">2019-02-12T12:13:00Z</dcterms:created>
  <dcterms:modified xsi:type="dcterms:W3CDTF">2019-07-22T07:04:00Z</dcterms:modified>
</cp:coreProperties>
</file>