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AE" w:rsidRDefault="00BD57AE" w:rsidP="00BD57AE">
      <w:pPr>
        <w:pStyle w:val="Nzov"/>
      </w:pPr>
    </w:p>
    <w:p w:rsidR="00BD57AE" w:rsidRDefault="00BD57AE" w:rsidP="00BD57AE">
      <w:pPr>
        <w:pStyle w:val="Nzov"/>
      </w:pPr>
      <w:r>
        <w:t xml:space="preserve">ZMLUVA O NÁJME </w:t>
      </w:r>
    </w:p>
    <w:p w:rsidR="00BD57AE" w:rsidRDefault="00BD57AE" w:rsidP="00BD57AE">
      <w:pPr>
        <w:pStyle w:val="Nzov"/>
        <w:rPr>
          <w:caps/>
        </w:rPr>
      </w:pPr>
      <w:r>
        <w:rPr>
          <w:caps/>
        </w:rPr>
        <w:t>hrobového miesta na pohrebisku</w:t>
      </w:r>
    </w:p>
    <w:p w:rsidR="00BD57AE" w:rsidRDefault="00BD57AE" w:rsidP="00BD57AE">
      <w:pPr>
        <w:pStyle w:val="Nzov"/>
        <w:rPr>
          <w:b/>
          <w:caps/>
          <w:sz w:val="32"/>
          <w:szCs w:val="32"/>
        </w:rPr>
      </w:pPr>
      <w:r>
        <w:rPr>
          <w:b/>
          <w:caps/>
          <w:sz w:val="32"/>
          <w:szCs w:val="32"/>
        </w:rPr>
        <w:t>HR – 02</w:t>
      </w:r>
      <w:r>
        <w:rPr>
          <w:b/>
          <w:caps/>
          <w:sz w:val="32"/>
          <w:szCs w:val="32"/>
        </w:rPr>
        <w:t>/2019</w:t>
      </w:r>
    </w:p>
    <w:p w:rsidR="00BD57AE" w:rsidRDefault="00BD57AE" w:rsidP="00BD57AE">
      <w:pPr>
        <w:pStyle w:val="Nzov"/>
      </w:pPr>
    </w:p>
    <w:p w:rsidR="00BD57AE" w:rsidRDefault="00BD57AE" w:rsidP="00BD57AE">
      <w:pPr>
        <w:pStyle w:val="Nzov"/>
      </w:pPr>
      <w:r>
        <w:t>I.</w:t>
      </w:r>
    </w:p>
    <w:p w:rsidR="00BD57AE" w:rsidRDefault="00BD57AE" w:rsidP="00BD57AE">
      <w:pPr>
        <w:jc w:val="center"/>
        <w:rPr>
          <w:sz w:val="28"/>
        </w:rPr>
      </w:pPr>
      <w:r>
        <w:rPr>
          <w:sz w:val="28"/>
        </w:rPr>
        <w:t>Zmluvné strany</w:t>
      </w:r>
    </w:p>
    <w:p w:rsidR="00BD57AE" w:rsidRDefault="00BD57AE" w:rsidP="00BD57AE">
      <w:pPr>
        <w:jc w:val="both"/>
      </w:pPr>
    </w:p>
    <w:p w:rsidR="00BD57AE" w:rsidRDefault="00BD57AE" w:rsidP="00BD57AE">
      <w:pPr>
        <w:jc w:val="both"/>
      </w:pPr>
    </w:p>
    <w:p w:rsidR="00BD57AE" w:rsidRDefault="00BD57AE" w:rsidP="00BD57AE">
      <w:pPr>
        <w:jc w:val="both"/>
      </w:pPr>
      <w:r>
        <w:t>Prenajímateľ:   Obec Lučatín ako prevádzkovateľ pohrebiska</w:t>
      </w:r>
    </w:p>
    <w:p w:rsidR="00BD57AE" w:rsidRDefault="00BD57AE" w:rsidP="00BD57AE">
      <w:pPr>
        <w:jc w:val="both"/>
      </w:pPr>
      <w:r>
        <w:t xml:space="preserve">                        IČO 313572, zastúpená Bc. Pavlom Kováčom, starostom obce</w:t>
      </w:r>
    </w:p>
    <w:p w:rsidR="00BD57AE" w:rsidRDefault="00BD57AE" w:rsidP="00BD57AE">
      <w:pPr>
        <w:jc w:val="both"/>
      </w:pPr>
      <w:r>
        <w:t xml:space="preserve">                        (ďalej len „prenajímateľ“)</w:t>
      </w:r>
    </w:p>
    <w:p w:rsidR="00BD57AE" w:rsidRDefault="00BD57AE" w:rsidP="00BD57AE">
      <w:pPr>
        <w:jc w:val="both"/>
      </w:pPr>
      <w:r>
        <w:t>a</w:t>
      </w:r>
    </w:p>
    <w:p w:rsidR="00BD57AE" w:rsidRDefault="00BD57AE" w:rsidP="00BD57AE">
      <w:pPr>
        <w:jc w:val="both"/>
      </w:pPr>
    </w:p>
    <w:p w:rsidR="00BD57AE" w:rsidRDefault="00BD57AE" w:rsidP="00BD57AE">
      <w:pPr>
        <w:pStyle w:val="Zkladntext"/>
        <w:spacing w:line="360" w:lineRule="auto"/>
      </w:pPr>
      <w:r>
        <w:t xml:space="preserve">Nájomca: </w:t>
      </w:r>
      <w:r w:rsidRPr="00BD57AE">
        <w:rPr>
          <w:b/>
          <w:sz w:val="28"/>
          <w:szCs w:val="28"/>
        </w:rPr>
        <w:t>Adriána Medveďová, Lučatín 133, 976 61  Lučatín</w:t>
      </w:r>
      <w:r>
        <w:t xml:space="preserve"> (ďalej len nájomca“)</w:t>
      </w:r>
    </w:p>
    <w:p w:rsidR="00BD57AE" w:rsidRDefault="00BD57AE" w:rsidP="00BD57AE">
      <w:pPr>
        <w:pStyle w:val="Zkladntext"/>
        <w:spacing w:line="360" w:lineRule="auto"/>
      </w:pPr>
    </w:p>
    <w:p w:rsidR="00BD57AE" w:rsidRDefault="00BD57AE" w:rsidP="00BD57AE">
      <w:pPr>
        <w:jc w:val="both"/>
      </w:pPr>
      <w:r>
        <w:t>uzatvárajú  podľa § 663 až  § 684 Občianskeho zákonníka a podľa § 21 zákona                              č. 131/2010 Z. z. o pohrebníctve zmluvu o nájme hrobového miesta na pohrebisku</w:t>
      </w:r>
    </w:p>
    <w:p w:rsidR="00BD57AE" w:rsidRDefault="00BD57AE" w:rsidP="00BD57AE">
      <w:pPr>
        <w:jc w:val="both"/>
      </w:pPr>
    </w:p>
    <w:p w:rsidR="00BD57AE" w:rsidRDefault="00BD57AE" w:rsidP="00BD57AE">
      <w:pPr>
        <w:jc w:val="center"/>
        <w:rPr>
          <w:sz w:val="28"/>
        </w:rPr>
      </w:pPr>
      <w:r>
        <w:rPr>
          <w:sz w:val="28"/>
        </w:rPr>
        <w:t>II.</w:t>
      </w:r>
    </w:p>
    <w:p w:rsidR="00BD57AE" w:rsidRDefault="00BD57AE" w:rsidP="00BD57AE">
      <w:pPr>
        <w:jc w:val="center"/>
        <w:rPr>
          <w:sz w:val="28"/>
        </w:rPr>
      </w:pPr>
      <w:r>
        <w:rPr>
          <w:sz w:val="28"/>
        </w:rPr>
        <w:t>Úvodné ustanovenie</w:t>
      </w:r>
    </w:p>
    <w:p w:rsidR="00BD57AE" w:rsidRDefault="00BD57AE" w:rsidP="00BD57AE">
      <w:pPr>
        <w:numPr>
          <w:ilvl w:val="0"/>
          <w:numId w:val="1"/>
        </w:numPr>
        <w:tabs>
          <w:tab w:val="num" w:pos="0"/>
        </w:tabs>
        <w:ind w:left="0" w:firstLine="360"/>
        <w:jc w:val="both"/>
      </w:pPr>
      <w:r>
        <w:t>Prenajímateľ je v zmysle ustanovení zákona č. 131/2010 Z. z. o pohrebníctve prevádzkovateľom pohrebiska- cintorína, nachádzajúceho sa v katastri prenajímateľa.</w:t>
      </w:r>
    </w:p>
    <w:p w:rsidR="00BD57AE" w:rsidRDefault="00BD57AE" w:rsidP="00BD57AE">
      <w:pPr>
        <w:numPr>
          <w:ilvl w:val="0"/>
          <w:numId w:val="1"/>
        </w:numPr>
        <w:tabs>
          <w:tab w:val="num" w:pos="0"/>
        </w:tabs>
        <w:ind w:left="0" w:firstLine="360"/>
        <w:jc w:val="both"/>
      </w:pPr>
      <w:r>
        <w:t>Táto zmluva upravuje vzájomné vzťahy prenajímateľa a nájomcu pri užívaní hrobového miesta a prevádzkovaní pohrebiska.</w:t>
      </w:r>
    </w:p>
    <w:p w:rsidR="00BD57AE" w:rsidRDefault="00BD57AE" w:rsidP="00BD57AE">
      <w:pPr>
        <w:jc w:val="center"/>
        <w:rPr>
          <w:sz w:val="28"/>
        </w:rPr>
      </w:pPr>
    </w:p>
    <w:p w:rsidR="00BD57AE" w:rsidRDefault="00BD57AE" w:rsidP="00BD57AE">
      <w:pPr>
        <w:jc w:val="center"/>
        <w:rPr>
          <w:sz w:val="28"/>
        </w:rPr>
      </w:pPr>
      <w:r>
        <w:rPr>
          <w:sz w:val="28"/>
        </w:rPr>
        <w:t>III.</w:t>
      </w:r>
    </w:p>
    <w:p w:rsidR="00BD57AE" w:rsidRDefault="00BD57AE" w:rsidP="00BD57AE">
      <w:pPr>
        <w:pStyle w:val="Nadpis1"/>
      </w:pPr>
      <w:r>
        <w:t>Predmet a účel nájmu</w:t>
      </w:r>
    </w:p>
    <w:p w:rsidR="00BD57AE" w:rsidRDefault="00BD57AE" w:rsidP="00BD57AE">
      <w:pPr>
        <w:pStyle w:val="Zkladntext"/>
        <w:numPr>
          <w:ilvl w:val="0"/>
          <w:numId w:val="2"/>
        </w:numPr>
        <w:tabs>
          <w:tab w:val="num" w:pos="0"/>
        </w:tabs>
        <w:ind w:left="0" w:firstLine="300"/>
      </w:pPr>
      <w:r>
        <w:t xml:space="preserve">Prenajímateľ prenecháva nájomcovi na dočasné užívanie za nájomné hrobové miesto </w:t>
      </w:r>
      <w:r>
        <w:rPr>
          <w:b/>
        </w:rPr>
        <w:t>č. 2</w:t>
      </w:r>
      <w:r>
        <w:rPr>
          <w:b/>
        </w:rPr>
        <w:t>5</w:t>
      </w:r>
      <w:r>
        <w:rPr>
          <w:b/>
        </w:rPr>
        <w:t>9</w:t>
      </w:r>
      <w:r>
        <w:rPr>
          <w:b/>
        </w:rPr>
        <w:t>,</w:t>
      </w:r>
      <w:r>
        <w:t xml:space="preserve"> sekcia </w:t>
      </w:r>
      <w:r>
        <w:rPr>
          <w:b/>
        </w:rPr>
        <w:t>1</w:t>
      </w:r>
      <w:r>
        <w:t xml:space="preserve"> na pohrebisku, ktoré sa nachádza v katastrálnom území prenajímateľa.  </w:t>
      </w:r>
    </w:p>
    <w:p w:rsidR="00BD57AE" w:rsidRDefault="00BD57AE" w:rsidP="00BD57AE">
      <w:pPr>
        <w:pStyle w:val="Zkladntext"/>
        <w:numPr>
          <w:ilvl w:val="0"/>
          <w:numId w:val="2"/>
        </w:numPr>
        <w:tabs>
          <w:tab w:val="num" w:pos="0"/>
        </w:tabs>
        <w:ind w:left="0" w:firstLine="300"/>
      </w:pPr>
      <w:r>
        <w:t xml:space="preserve">Nájomca je oprávnený na hrobovom mieste </w:t>
      </w:r>
      <w:r>
        <w:rPr>
          <w:b/>
        </w:rPr>
        <w:t>č. 2</w:t>
      </w:r>
      <w:r>
        <w:rPr>
          <w:b/>
        </w:rPr>
        <w:t>5</w:t>
      </w:r>
      <w:r>
        <w:rPr>
          <w:b/>
        </w:rPr>
        <w:t>9</w:t>
      </w:r>
      <w:r>
        <w:rPr>
          <w:b/>
        </w:rPr>
        <w:t>,</w:t>
      </w:r>
      <w:r>
        <w:t xml:space="preserve"> sekcia </w:t>
      </w:r>
      <w:r>
        <w:rPr>
          <w:b/>
        </w:rPr>
        <w:t>1</w:t>
      </w:r>
      <w:r>
        <w:t xml:space="preserve">, vybudovať </w:t>
      </w:r>
      <w:proofErr w:type="spellStart"/>
      <w:r>
        <w:t>jedno</w:t>
      </w:r>
      <w:r>
        <w:t>hrob</w:t>
      </w:r>
      <w:proofErr w:type="spellEnd"/>
      <w:r>
        <w:t xml:space="preserve"> na uloženie rakvy  s ľudskými pozostatkami </w:t>
      </w:r>
    </w:p>
    <w:p w:rsidR="00BD57AE" w:rsidRDefault="00BD57AE" w:rsidP="00BD57AE">
      <w:pPr>
        <w:jc w:val="center"/>
        <w:rPr>
          <w:sz w:val="28"/>
        </w:rPr>
      </w:pPr>
    </w:p>
    <w:p w:rsidR="00BD57AE" w:rsidRDefault="00BD57AE" w:rsidP="00BD57AE">
      <w:pPr>
        <w:jc w:val="center"/>
        <w:rPr>
          <w:sz w:val="28"/>
        </w:rPr>
      </w:pPr>
      <w:r>
        <w:rPr>
          <w:sz w:val="28"/>
        </w:rPr>
        <w:t>IV.</w:t>
      </w:r>
    </w:p>
    <w:p w:rsidR="00BD57AE" w:rsidRDefault="00BD57AE" w:rsidP="00BD57AE">
      <w:pPr>
        <w:jc w:val="center"/>
        <w:rPr>
          <w:sz w:val="28"/>
        </w:rPr>
      </w:pPr>
      <w:r>
        <w:rPr>
          <w:sz w:val="28"/>
        </w:rPr>
        <w:t xml:space="preserve">Nájomné </w:t>
      </w:r>
    </w:p>
    <w:p w:rsidR="00BD57AE" w:rsidRDefault="00BD57AE" w:rsidP="00BD57AE">
      <w:pPr>
        <w:numPr>
          <w:ilvl w:val="0"/>
          <w:numId w:val="3"/>
        </w:numPr>
        <w:jc w:val="both"/>
      </w:pPr>
      <w:r>
        <w:t xml:space="preserve">Za dočasné užívanie hrobového miesta nájomca platí prenajímateľovi nájomné a úhrady za služby (správa a údržba pohrebiska, správa a údržba komunikácie a zelene v pohrebisku, zber a odvoz odpadu z pohrebiska, dodávka vody) poskytované s užívaním hrobového miesta za: </w:t>
      </w:r>
    </w:p>
    <w:p w:rsidR="00BD57AE" w:rsidRDefault="00BD57AE" w:rsidP="00BD57AE">
      <w:pPr>
        <w:jc w:val="both"/>
      </w:pPr>
      <w:r>
        <w:t xml:space="preserve">a) jeden hrob vo výške 1,99 Eur za obdobie 1 kalendárneho roka,  </w:t>
      </w:r>
    </w:p>
    <w:p w:rsidR="00BD57AE" w:rsidRDefault="00BD57AE" w:rsidP="00BD57AE">
      <w:pPr>
        <w:jc w:val="both"/>
      </w:pPr>
      <w:r>
        <w:t xml:space="preserve">b) </w:t>
      </w:r>
      <w:proofErr w:type="spellStart"/>
      <w:r>
        <w:t>dvojhrob</w:t>
      </w:r>
      <w:proofErr w:type="spellEnd"/>
      <w:r>
        <w:t xml:space="preserve"> vo výške 3,98 Eur za obdobie 1 kalendárneho roka,</w:t>
      </w:r>
    </w:p>
    <w:p w:rsidR="00BD57AE" w:rsidRDefault="00BD57AE" w:rsidP="00BD57AE">
      <w:pPr>
        <w:jc w:val="both"/>
      </w:pPr>
      <w:r>
        <w:t xml:space="preserve">c) </w:t>
      </w:r>
      <w:proofErr w:type="spellStart"/>
      <w:r>
        <w:t>trojhrob</w:t>
      </w:r>
      <w:proofErr w:type="spellEnd"/>
      <w:r>
        <w:t xml:space="preserve"> vo výške 5,97 Eur za obdobie 1 kalendárneho roka,</w:t>
      </w:r>
    </w:p>
    <w:p w:rsidR="00BD57AE" w:rsidRDefault="00BD57AE" w:rsidP="00BD57AE">
      <w:pPr>
        <w:jc w:val="both"/>
      </w:pPr>
      <w:r>
        <w:t>d) uloženie urny vo výške 1,99 Eur za obdobie 1 kalendárneho roka.</w:t>
      </w:r>
    </w:p>
    <w:p w:rsidR="00BD57AE" w:rsidRDefault="00BD57AE" w:rsidP="00BD57AE">
      <w:pPr>
        <w:jc w:val="both"/>
      </w:pPr>
    </w:p>
    <w:p w:rsidR="00BD57AE" w:rsidRDefault="00BD57AE" w:rsidP="00BD57AE">
      <w:pPr>
        <w:numPr>
          <w:ilvl w:val="0"/>
          <w:numId w:val="3"/>
        </w:numPr>
        <w:jc w:val="both"/>
      </w:pPr>
      <w:r>
        <w:t xml:space="preserve">Na každý nasledujúci kalendárny rok trvania nájomného vzťahu prenajímateľ prehodnotí výšku nájomného v nadväznosti na index rastu materiálových a iných nákladov </w:t>
      </w:r>
      <w:r>
        <w:lastRenderedPageBreak/>
        <w:t xml:space="preserve">cenového a legislatívneho vývoja. Prenajímateľ je oprávnený nájomcovi zmeniť (zvýšiť/znížiť) výšku nájomného pri zmene cenníka služieb, ktorý je neoddeliteľnou súčasťou prevádzkového poriadku pohrebiska. Prehodnotenie bude vykonávané vždy k 31. decembru kalendárneho roka. </w:t>
      </w:r>
    </w:p>
    <w:p w:rsidR="00BD57AE" w:rsidRDefault="00BD57AE" w:rsidP="00BD57AE">
      <w:pPr>
        <w:numPr>
          <w:ilvl w:val="0"/>
          <w:numId w:val="3"/>
        </w:numPr>
        <w:jc w:val="both"/>
      </w:pPr>
      <w:r>
        <w:t xml:space="preserve">Nájomca pristúpi na zmenu výšky nájomného v prípade, keď sa po uzatvorení nájomnej zmluvy zmenia ceny a materiálové náklady (na prevádzkovanie pohrebiska), za ktorých zmluvné strany vychádzali pri jej podpise. </w:t>
      </w:r>
    </w:p>
    <w:p w:rsidR="00BD57AE" w:rsidRDefault="00BD57AE" w:rsidP="00BD57AE">
      <w:pPr>
        <w:numPr>
          <w:ilvl w:val="0"/>
          <w:numId w:val="3"/>
        </w:numPr>
        <w:jc w:val="both"/>
      </w:pPr>
      <w:r>
        <w:t xml:space="preserve">Výšku nájomného určuje obecné zastupiteľstvo obce v cenníku služieb, ktorý je neoddeliteľnou súčasťou prevádzkového poriadku pohrebiska (ktorý je vyvesený na úradnej tabuli pohrebiska a na internetovej stránke obce), ktorá je pre nájomcu záväzná dňom            1. januára nasledujúceho kalendárneho roka po roku, v ktorom bola určená výška nájomného. Zmenu nájomného (zvýšenie, zníženie) oznamuje prenajímateľ nájomcovi písomne s uvedeným dátumom, od ktorého táto zmena nadobúda platnosť. </w:t>
      </w:r>
    </w:p>
    <w:p w:rsidR="00BD57AE" w:rsidRDefault="00BD57AE" w:rsidP="00BD57AE">
      <w:pPr>
        <w:numPr>
          <w:ilvl w:val="0"/>
          <w:numId w:val="3"/>
        </w:numPr>
        <w:jc w:val="both"/>
      </w:pPr>
      <w:r>
        <w:t>Nájomca sa zaväzuje platiť prenajímateľovi ročné nájomné v</w:t>
      </w:r>
      <w:r>
        <w:t> </w:t>
      </w:r>
      <w:r>
        <w:t>sume</w:t>
      </w:r>
      <w:r>
        <w:t xml:space="preserve"> </w:t>
      </w:r>
      <w:r w:rsidRPr="00BD57AE">
        <w:rPr>
          <w:b/>
        </w:rPr>
        <w:t>1</w:t>
      </w:r>
      <w:r w:rsidRPr="00BD57AE">
        <w:rPr>
          <w:b/>
        </w:rPr>
        <w:t>,9</w:t>
      </w:r>
      <w:r w:rsidRPr="00BD57AE">
        <w:rPr>
          <w:b/>
        </w:rPr>
        <w:t>9</w:t>
      </w:r>
      <w:r>
        <w:rPr>
          <w:b/>
          <w:sz w:val="28"/>
          <w:szCs w:val="28"/>
        </w:rPr>
        <w:t xml:space="preserve"> Eur</w:t>
      </w:r>
      <w:r>
        <w:t xml:space="preserve">, do 31.mája kalendárneho roka. </w:t>
      </w:r>
    </w:p>
    <w:p w:rsidR="00BD57AE" w:rsidRDefault="00BD57AE" w:rsidP="00BD57AE">
      <w:pPr>
        <w:numPr>
          <w:ilvl w:val="0"/>
          <w:numId w:val="3"/>
        </w:numPr>
        <w:jc w:val="both"/>
      </w:pPr>
      <w:r>
        <w:rPr>
          <w:iCs/>
        </w:rPr>
        <w:t xml:space="preserve">V prípade, že sa nájomca omešká s platením nájmu, zaväzuje sa uhrádzať prenajímateľovi úrok z omeškania, stanovený podľa vykonávacieho predpisu Občianskeho zákonníka (§ 517 ods. 2 Občianskeho zákonníka), a to z dlžnej čiastky za každý deň omeškania. </w:t>
      </w:r>
    </w:p>
    <w:p w:rsidR="00BD57AE" w:rsidRDefault="00BD57AE" w:rsidP="00BD57AE">
      <w:pPr>
        <w:numPr>
          <w:ilvl w:val="0"/>
          <w:numId w:val="3"/>
        </w:numPr>
        <w:jc w:val="both"/>
      </w:pPr>
      <w:r>
        <w:t xml:space="preserve">Nájomca môže platiť nájomné v hotovosti alebo na účet prenajímateľa v banke PRIMA banka Slovensko,  </w:t>
      </w:r>
      <w:proofErr w:type="spellStart"/>
      <w:r>
        <w:t>a.s</w:t>
      </w:r>
      <w:proofErr w:type="spellEnd"/>
      <w:r>
        <w:t>. Banská Bystrica, č. účtu 1220930001/5600,</w:t>
      </w:r>
    </w:p>
    <w:p w:rsidR="00BD57AE" w:rsidRDefault="00BD57AE" w:rsidP="00BD57AE">
      <w:pPr>
        <w:jc w:val="both"/>
      </w:pPr>
      <w:r>
        <w:t>IBAN: SK36 5600 0000 0012 2093 0001</w:t>
      </w:r>
    </w:p>
    <w:p w:rsidR="00BD57AE" w:rsidRDefault="00BD57AE" w:rsidP="00BD57AE">
      <w:pPr>
        <w:jc w:val="center"/>
        <w:rPr>
          <w:sz w:val="28"/>
        </w:rPr>
      </w:pPr>
    </w:p>
    <w:p w:rsidR="00BD57AE" w:rsidRDefault="00BD57AE" w:rsidP="00BD57AE">
      <w:pPr>
        <w:jc w:val="center"/>
        <w:rPr>
          <w:sz w:val="28"/>
        </w:rPr>
      </w:pPr>
      <w:r>
        <w:rPr>
          <w:sz w:val="28"/>
        </w:rPr>
        <w:t>V.</w:t>
      </w:r>
    </w:p>
    <w:p w:rsidR="00BD57AE" w:rsidRDefault="00BD57AE" w:rsidP="00BD57AE">
      <w:pPr>
        <w:jc w:val="center"/>
        <w:rPr>
          <w:sz w:val="28"/>
        </w:rPr>
      </w:pPr>
      <w:r>
        <w:rPr>
          <w:sz w:val="28"/>
        </w:rPr>
        <w:t xml:space="preserve">Doba nájmu </w:t>
      </w:r>
    </w:p>
    <w:p w:rsidR="00BD57AE" w:rsidRDefault="00BD57AE" w:rsidP="00BD57AE">
      <w:pPr>
        <w:jc w:val="both"/>
      </w:pPr>
      <w:r>
        <w:t xml:space="preserve">   Nájom hrobového miesta sa uzatvára  na dobu neurčitú s účinnosťou od  </w:t>
      </w:r>
      <w:r>
        <w:rPr>
          <w:b/>
        </w:rPr>
        <w:t>01.01.2020</w:t>
      </w:r>
    </w:p>
    <w:p w:rsidR="00BD57AE" w:rsidRDefault="00BD57AE" w:rsidP="00BD57AE">
      <w:pPr>
        <w:jc w:val="center"/>
        <w:rPr>
          <w:sz w:val="28"/>
        </w:rPr>
      </w:pPr>
    </w:p>
    <w:p w:rsidR="00BD57AE" w:rsidRDefault="00BD57AE" w:rsidP="00BD57AE">
      <w:pPr>
        <w:jc w:val="center"/>
        <w:rPr>
          <w:sz w:val="28"/>
        </w:rPr>
      </w:pPr>
      <w:r>
        <w:rPr>
          <w:sz w:val="28"/>
        </w:rPr>
        <w:t>VI.</w:t>
      </w:r>
    </w:p>
    <w:p w:rsidR="00BD57AE" w:rsidRDefault="00BD57AE" w:rsidP="00BD57AE">
      <w:pPr>
        <w:jc w:val="center"/>
        <w:rPr>
          <w:sz w:val="28"/>
        </w:rPr>
      </w:pPr>
      <w:r>
        <w:rPr>
          <w:sz w:val="28"/>
        </w:rPr>
        <w:t>Práva a povinnosti zmluvných strán</w:t>
      </w:r>
    </w:p>
    <w:p w:rsidR="00BD57AE" w:rsidRDefault="00BD57AE" w:rsidP="00BD57AE">
      <w:pPr>
        <w:numPr>
          <w:ilvl w:val="0"/>
          <w:numId w:val="4"/>
        </w:numPr>
        <w:jc w:val="both"/>
      </w:pPr>
      <w:r>
        <w:t>Prenajímateľ je povinný zabezpečiť počas trvania nájomnej zmluvy prístup k hrobovému miestu a zdržať sa akýchkoľvek zásahov do hrobového miesta okrem prípadov, ak je potrebné zabezpečiť prevádzkovanie pohrebiska. O pripravovanom zásahu je prenajímateľ povinný vopred písomne informovať nájomcu; o už uskutočnenom zásahu je prenajímateľ povinný bezodkladne písomne informovať nájomcu.</w:t>
      </w:r>
    </w:p>
    <w:p w:rsidR="00BD57AE" w:rsidRDefault="00BD57AE" w:rsidP="00BD57AE">
      <w:pPr>
        <w:numPr>
          <w:ilvl w:val="0"/>
          <w:numId w:val="4"/>
        </w:numPr>
        <w:jc w:val="both"/>
      </w:pPr>
      <w:bookmarkStart w:id="0" w:name="f_5438600"/>
      <w:bookmarkEnd w:id="0"/>
      <w:r>
        <w:t>Pri úmrtí nájomcu hrobového miesta má prednostné právo na uzavretie novej nájomnej zmluvy na hrobové miesto osoba blízka (§ 116 Občianskeho zákonníka); ak je blízkych osôb viac, tá blízka osoba, ktorá sa prihlási ako prvá. Prednostné právo na uzatvorenie nájomnej zmluvy možno uplatniť najneskôr do jedného roka od úmrtia nájomcu hrobového miesta.</w:t>
      </w:r>
    </w:p>
    <w:p w:rsidR="00BD57AE" w:rsidRDefault="00BD57AE" w:rsidP="00BD57AE">
      <w:pPr>
        <w:numPr>
          <w:ilvl w:val="0"/>
          <w:numId w:val="4"/>
        </w:numPr>
        <w:jc w:val="both"/>
      </w:pPr>
      <w:bookmarkStart w:id="1" w:name="f_5438628"/>
      <w:bookmarkEnd w:id="1"/>
      <w:r>
        <w:t>Nájomca hrobového miesta je povinný:</w:t>
      </w:r>
    </w:p>
    <w:p w:rsidR="00BD57AE" w:rsidRDefault="00BD57AE" w:rsidP="00BD57AE">
      <w:pPr>
        <w:jc w:val="both"/>
      </w:pPr>
      <w:bookmarkStart w:id="2" w:name="f_5438629"/>
      <w:bookmarkEnd w:id="2"/>
      <w:r>
        <w:t>a) dodržiavať ustanovenia prevádzkového poriadku, ktoré sa týkajú povinností nájomcu hrobového miesta,</w:t>
      </w:r>
    </w:p>
    <w:p w:rsidR="00BD57AE" w:rsidRDefault="00BD57AE" w:rsidP="00BD57AE">
      <w:pPr>
        <w:jc w:val="both"/>
      </w:pPr>
      <w:bookmarkStart w:id="3" w:name="f_5438630"/>
      <w:bookmarkEnd w:id="3"/>
      <w:r>
        <w:t>b) užívať hrobové miesto podľa nájomnej zmluvy,</w:t>
      </w:r>
    </w:p>
    <w:p w:rsidR="00BD57AE" w:rsidRDefault="00BD57AE" w:rsidP="00BD57AE">
      <w:pPr>
        <w:jc w:val="both"/>
      </w:pPr>
      <w:bookmarkStart w:id="4" w:name="f_5438631"/>
      <w:bookmarkEnd w:id="4"/>
      <w:r>
        <w:t>c) udržiavať prenajaté hrobové miesto v poriadku na vlastné náklady, a to tak, aby nepohoršovalo a nenarúšalo pietne miesto pohrebiska,</w:t>
      </w:r>
    </w:p>
    <w:p w:rsidR="00BD57AE" w:rsidRDefault="00BD57AE" w:rsidP="00BD57AE">
      <w:pPr>
        <w:jc w:val="both"/>
      </w:pPr>
      <w:bookmarkStart w:id="5" w:name="f_5438632"/>
      <w:bookmarkEnd w:id="5"/>
      <w:r>
        <w:t xml:space="preserve">d) písomne oznamovať prevádzkovateľovi pohrebiska všetky zmeny údajov, ktoré sú potrebné na vedenie evidencie podľa </w:t>
      </w:r>
      <w:hyperlink r:id="rId5" w:history="1">
        <w:r>
          <w:rPr>
            <w:rStyle w:val="Hypertextovprepojenie"/>
            <w:color w:val="auto"/>
            <w:u w:val="none"/>
          </w:rPr>
          <w:t>§ 17 ods. 4 písm. a)</w:t>
        </w:r>
      </w:hyperlink>
      <w:r>
        <w:t xml:space="preserve"> zákona č. 131/2010 Z. z. o pohrebníctve,</w:t>
      </w:r>
    </w:p>
    <w:p w:rsidR="00BD57AE" w:rsidRDefault="00BD57AE" w:rsidP="00BD57AE">
      <w:pPr>
        <w:jc w:val="both"/>
      </w:pPr>
      <w:r>
        <w:t>e) sa správať na pohrebisku tak, aby udržiaval poriadok na pohrebisku, aby neodhadzoval odpadky a inak neznečisťoval pohrebisko odpadmi (napr. suché kvety, vence, časti z kahancov), ktoré odstráni z hrobového miesta, ktoré má prenajaté, na iné miesto, ako je to určené v prevádzkovom poriadku pohrebiska.</w:t>
      </w:r>
    </w:p>
    <w:p w:rsidR="00BD57AE" w:rsidRDefault="00BD57AE" w:rsidP="00BD57AE">
      <w:pPr>
        <w:jc w:val="both"/>
      </w:pPr>
      <w:bookmarkStart w:id="6" w:name="f_5438633"/>
      <w:bookmarkEnd w:id="6"/>
    </w:p>
    <w:p w:rsidR="00BD57AE" w:rsidRDefault="00BD57AE" w:rsidP="00BD57AE">
      <w:pPr>
        <w:jc w:val="both"/>
      </w:pPr>
    </w:p>
    <w:p w:rsidR="00BD57AE" w:rsidRDefault="00BD57AE" w:rsidP="00BD57AE">
      <w:pPr>
        <w:numPr>
          <w:ilvl w:val="0"/>
          <w:numId w:val="4"/>
        </w:numPr>
        <w:jc w:val="both"/>
      </w:pPr>
      <w:r>
        <w:t xml:space="preserve">Prenajímateľ je povinný: </w:t>
      </w:r>
    </w:p>
    <w:p w:rsidR="00BD57AE" w:rsidRDefault="00BD57AE" w:rsidP="00BD57AE">
      <w:pPr>
        <w:jc w:val="both"/>
      </w:pPr>
      <w:bookmarkStart w:id="7" w:name="f_5438517"/>
      <w:bookmarkStart w:id="8" w:name="f_5438520"/>
      <w:bookmarkEnd w:id="7"/>
      <w:bookmarkEnd w:id="8"/>
      <w:r>
        <w:t>a) zabezpečiť správu pohrebiska,</w:t>
      </w:r>
    </w:p>
    <w:p w:rsidR="00BD57AE" w:rsidRDefault="00BD57AE" w:rsidP="00BD57AE">
      <w:pPr>
        <w:jc w:val="both"/>
      </w:pPr>
      <w:bookmarkStart w:id="9" w:name="f_5438521"/>
      <w:bookmarkStart w:id="10" w:name="f_5438522"/>
      <w:bookmarkEnd w:id="9"/>
      <w:bookmarkEnd w:id="10"/>
      <w:r>
        <w:t>b) zabezpečiť údržbu komunikácií a zelene na pohrebisku,</w:t>
      </w:r>
    </w:p>
    <w:p w:rsidR="00BD57AE" w:rsidRDefault="00BD57AE" w:rsidP="00BD57AE">
      <w:pPr>
        <w:jc w:val="both"/>
      </w:pPr>
      <w:r>
        <w:t>c) dodržiavať prevádzkový poriadok pohrebiska.</w:t>
      </w:r>
    </w:p>
    <w:p w:rsidR="00BD57AE" w:rsidRDefault="00BD57AE" w:rsidP="00BD57AE">
      <w:pPr>
        <w:jc w:val="center"/>
        <w:rPr>
          <w:sz w:val="28"/>
        </w:rPr>
      </w:pPr>
    </w:p>
    <w:p w:rsidR="00BD57AE" w:rsidRDefault="00BD57AE" w:rsidP="00BD57AE">
      <w:pPr>
        <w:jc w:val="center"/>
        <w:rPr>
          <w:sz w:val="28"/>
        </w:rPr>
      </w:pPr>
      <w:r>
        <w:rPr>
          <w:sz w:val="28"/>
        </w:rPr>
        <w:t>VII.</w:t>
      </w:r>
    </w:p>
    <w:p w:rsidR="00BD57AE" w:rsidRDefault="00BD57AE" w:rsidP="00BD57AE">
      <w:pPr>
        <w:jc w:val="center"/>
        <w:rPr>
          <w:sz w:val="28"/>
        </w:rPr>
      </w:pPr>
      <w:r>
        <w:rPr>
          <w:sz w:val="28"/>
        </w:rPr>
        <w:t>Výpoveď nájomnej zmluvy</w:t>
      </w:r>
    </w:p>
    <w:p w:rsidR="00BD57AE" w:rsidRDefault="00BD57AE" w:rsidP="00BD57AE">
      <w:pPr>
        <w:rPr>
          <w:rFonts w:ascii="Tahoma" w:hAnsi="Tahoma" w:cs="Tahoma"/>
          <w:color w:val="4B4B4B"/>
          <w:sz w:val="12"/>
          <w:szCs w:val="12"/>
        </w:rPr>
      </w:pPr>
    </w:p>
    <w:p w:rsidR="00BD57AE" w:rsidRDefault="00BD57AE" w:rsidP="00BD57AE">
      <w:pPr>
        <w:numPr>
          <w:ilvl w:val="0"/>
          <w:numId w:val="5"/>
        </w:numPr>
        <w:jc w:val="both"/>
      </w:pPr>
      <w:bookmarkStart w:id="11" w:name="f_5438603"/>
      <w:bookmarkStart w:id="12" w:name="f_5438605"/>
      <w:bookmarkEnd w:id="11"/>
      <w:bookmarkEnd w:id="12"/>
      <w:r>
        <w:t>Prenajímateľ nájomnú zmluvu vypovie, ak</w:t>
      </w:r>
    </w:p>
    <w:p w:rsidR="00BD57AE" w:rsidRDefault="00BD57AE" w:rsidP="00BD57AE">
      <w:pPr>
        <w:jc w:val="both"/>
      </w:pPr>
      <w:bookmarkStart w:id="13" w:name="f_5438606"/>
      <w:bookmarkEnd w:id="13"/>
      <w:r>
        <w:t>a) závažné okolnosti na pohrebisku znemožňujú trvanie nájmu hrobového miesta,</w:t>
      </w:r>
    </w:p>
    <w:p w:rsidR="00BD57AE" w:rsidRDefault="00BD57AE" w:rsidP="00BD57AE">
      <w:pPr>
        <w:jc w:val="both"/>
      </w:pPr>
      <w:bookmarkStart w:id="14" w:name="f_5438607"/>
      <w:bookmarkEnd w:id="14"/>
      <w:r>
        <w:t>b) sa pohrebisko zruší,</w:t>
      </w:r>
    </w:p>
    <w:p w:rsidR="00BD57AE" w:rsidRDefault="00BD57AE" w:rsidP="00BD57AE">
      <w:pPr>
        <w:jc w:val="both"/>
      </w:pPr>
      <w:bookmarkStart w:id="15" w:name="f_5438608"/>
      <w:bookmarkEnd w:id="15"/>
      <w:r>
        <w:t>c) nájomca ani po upozornení nezaplatil nájomné za užívanie hrobového miesta.</w:t>
      </w:r>
    </w:p>
    <w:p w:rsidR="00BD57AE" w:rsidRDefault="00BD57AE" w:rsidP="00BD57AE">
      <w:pPr>
        <w:numPr>
          <w:ilvl w:val="0"/>
          <w:numId w:val="5"/>
        </w:numPr>
        <w:jc w:val="both"/>
      </w:pPr>
      <w:bookmarkStart w:id="16" w:name="f_5438609"/>
      <w:bookmarkEnd w:id="16"/>
      <w:r>
        <w:t>Ak prenajímateľ vypovie nájomnú zmluvu z dôvodov uvedených v odseku 1 písm. a) a b), musí so súhlasom nájomcu zabezpečiť iné hrobové miesto a na vlastné náklady preložiť ľudské ostatky vrátane príslušenstva hrobu na nové hrobové miesto.</w:t>
      </w:r>
    </w:p>
    <w:p w:rsidR="00BD57AE" w:rsidRDefault="00BD57AE" w:rsidP="00BD57AE">
      <w:pPr>
        <w:numPr>
          <w:ilvl w:val="0"/>
          <w:numId w:val="5"/>
        </w:numPr>
        <w:jc w:val="both"/>
      </w:pPr>
      <w:bookmarkStart w:id="17" w:name="f_5438610"/>
      <w:bookmarkEnd w:id="17"/>
      <w:r>
        <w:t>Ak prenajímateľ vypovie nájomnú zmluvu z dôvodov uvedených v odseku 1 písm. a) a b), je povinný výpoveď nájomnej zmluvy doručiť nájomcovi najmenej tri mesiace predo dňom, keď sa má hrobové miesto zrušiť; ak mu nie je známa adresa nájomcu alebo sídlo nájomcu, uverejní túto informáciu na mieste obvyklom na pohrebisku.</w:t>
      </w:r>
    </w:p>
    <w:p w:rsidR="00BD57AE" w:rsidRDefault="00BD57AE" w:rsidP="00BD57AE">
      <w:pPr>
        <w:numPr>
          <w:ilvl w:val="0"/>
          <w:numId w:val="5"/>
        </w:numPr>
        <w:jc w:val="both"/>
      </w:pPr>
      <w:bookmarkStart w:id="18" w:name="f_5438611"/>
      <w:bookmarkEnd w:id="18"/>
      <w:r>
        <w:t>Ak prenajímateľ vypovie nájomnú zmluvu z dôvodu uvedeného v odseku 1 písm. c), je povinný výpoveď doručiť nájomcovi najneskôr do dvoch mesiacov po uplynutí lehoty, na ktorú bolo nájomné zaplatené; ak mu nie je známa adresa nájomcu alebo sídlo nájomcu, uverejní túto informáciu na mieste obvyklom na pohrebisku.</w:t>
      </w:r>
    </w:p>
    <w:p w:rsidR="00BD57AE" w:rsidRDefault="00BD57AE" w:rsidP="00BD57AE">
      <w:pPr>
        <w:numPr>
          <w:ilvl w:val="0"/>
          <w:numId w:val="5"/>
        </w:numPr>
        <w:jc w:val="both"/>
      </w:pPr>
      <w:bookmarkStart w:id="19" w:name="f_5438612"/>
      <w:bookmarkEnd w:id="19"/>
      <w:r>
        <w:t xml:space="preserve">Ak prenajímateľ vypovedal nájomnú zmluvu z dôvodu uvedeného v odseku 1 písm. c) a nájomca je známy, výpovedná lehota uplynie do jedného roka odo dňa doručenia výpovede. Prenajímateľ vyzve nájomcu, aby najneskôr do tejto lehoty odstránil z hrobového miesta príslušenstvo hrobu; ak ho v tejto lehote neodstráni, po uplynutí výpovednej lehoty sa príslušenstvo hrobu považuje sa opustenú vec. </w:t>
      </w:r>
    </w:p>
    <w:p w:rsidR="00BD57AE" w:rsidRDefault="00BD57AE" w:rsidP="00BD57AE">
      <w:pPr>
        <w:numPr>
          <w:ilvl w:val="0"/>
          <w:numId w:val="5"/>
        </w:numPr>
        <w:jc w:val="both"/>
      </w:pPr>
      <w:bookmarkStart w:id="20" w:name="f_5438613"/>
      <w:bookmarkEnd w:id="20"/>
      <w:r>
        <w:t xml:space="preserve">Ak prenajímateľ vypovie nájomnú zmluvu z dôvodu uvedeného v odseku 1 písm. c) a nájomca nie je známy, uverejní výpoveď nájomnej zmluvy na mieste obvyklom na pohrebisku. Výpovedná lehota uplynie tri roky odo dňa, odkedy nebolo nájomné zaplatené. Prenajímateľ ponechá po túto lehotu príslušenstvo hrobu na hrobovom mieste s označením, že ide o trojročné uloženie, počas ktorého sa môže nájomca prihlásiť; po uplynutí výpovednej lehoty sa príslušenstvo hrobu považuje za opustenú vec. </w:t>
      </w:r>
    </w:p>
    <w:p w:rsidR="00BD57AE" w:rsidRDefault="00BD57AE" w:rsidP="00BD57AE">
      <w:pPr>
        <w:numPr>
          <w:ilvl w:val="0"/>
          <w:numId w:val="5"/>
        </w:numPr>
        <w:jc w:val="both"/>
      </w:pPr>
      <w:bookmarkStart w:id="21" w:name="f_5438614"/>
      <w:bookmarkEnd w:id="21"/>
      <w:r>
        <w:t>Ak prenajímateľ postupuje podľa odsekov 5 a 6, musí zabezpečiť obrazovú dokumentáciu hrobového miesta so stručným opisom stavu príslušenstva hrobu.</w:t>
      </w:r>
    </w:p>
    <w:p w:rsidR="00BD57AE" w:rsidRDefault="00BD57AE" w:rsidP="00BD57AE">
      <w:pPr>
        <w:jc w:val="both"/>
      </w:pPr>
    </w:p>
    <w:p w:rsidR="00BD57AE" w:rsidRDefault="00BD57AE" w:rsidP="00BD57AE">
      <w:pPr>
        <w:jc w:val="center"/>
        <w:rPr>
          <w:sz w:val="28"/>
        </w:rPr>
      </w:pPr>
      <w:r>
        <w:rPr>
          <w:sz w:val="28"/>
        </w:rPr>
        <w:t>VIII.</w:t>
      </w:r>
    </w:p>
    <w:p w:rsidR="00BD57AE" w:rsidRDefault="00BD57AE" w:rsidP="00BD57AE">
      <w:pPr>
        <w:jc w:val="center"/>
        <w:rPr>
          <w:sz w:val="28"/>
        </w:rPr>
      </w:pPr>
      <w:r>
        <w:rPr>
          <w:sz w:val="28"/>
        </w:rPr>
        <w:t>Záverečné ustanovenia</w:t>
      </w:r>
    </w:p>
    <w:p w:rsidR="00BD57AE" w:rsidRDefault="00BD57AE" w:rsidP="00BD57AE">
      <w:pPr>
        <w:jc w:val="both"/>
      </w:pPr>
      <w:r>
        <w:t xml:space="preserve"> </w:t>
      </w:r>
    </w:p>
    <w:p w:rsidR="00BD57AE" w:rsidRDefault="00BD57AE" w:rsidP="00BD57AE">
      <w:pPr>
        <w:numPr>
          <w:ilvl w:val="0"/>
          <w:numId w:val="6"/>
        </w:numPr>
        <w:jc w:val="both"/>
      </w:pPr>
      <w:r>
        <w:t>Ak nie je v tejto zmluve výslovne uvedené niečo iné, riadia sa vzťahy zmluvných strán  ustanoveniami § 663 až § 684 Občianskym zákonníkom a ustanoveniami zákona                               č. 131/2010 Z. z. o pohrebníctve.</w:t>
      </w:r>
    </w:p>
    <w:p w:rsidR="00BD57AE" w:rsidRDefault="00BD57AE" w:rsidP="00BD57AE">
      <w:pPr>
        <w:numPr>
          <w:ilvl w:val="0"/>
          <w:numId w:val="6"/>
        </w:numPr>
        <w:jc w:val="both"/>
      </w:pPr>
      <w:r>
        <w:t>Túto zmluvu možno meniť alebo doplniť len písomnými dodatkami, podpísanými oprávnenými zástupcami oboch zmluvných strán, okrem článku IV tejto zmluvy.</w:t>
      </w:r>
    </w:p>
    <w:p w:rsidR="00BD57AE" w:rsidRDefault="00BD57AE" w:rsidP="00BD57AE">
      <w:pPr>
        <w:numPr>
          <w:ilvl w:val="0"/>
          <w:numId w:val="6"/>
        </w:numPr>
        <w:jc w:val="both"/>
      </w:pPr>
      <w:r>
        <w:t>Táto zmluva nadobúda platnosť a účinnosť odo dňa jej podpísania oboma zmluvnými stranami.</w:t>
      </w:r>
    </w:p>
    <w:p w:rsidR="00BD57AE" w:rsidRDefault="00BD57AE" w:rsidP="00BD57AE">
      <w:pPr>
        <w:numPr>
          <w:ilvl w:val="0"/>
          <w:numId w:val="6"/>
        </w:numPr>
        <w:jc w:val="both"/>
      </w:pPr>
      <w:r>
        <w:t xml:space="preserve">Zmluva je vyhotovená v dvoch vyhotoveniach, z ktorých 1 vyhotovenie </w:t>
      </w:r>
      <w:proofErr w:type="spellStart"/>
      <w:r>
        <w:t>obdrží</w:t>
      </w:r>
      <w:proofErr w:type="spellEnd"/>
      <w:r>
        <w:t xml:space="preserve"> nájomca a 1 vyhotovenie prenajímateľ. </w:t>
      </w:r>
    </w:p>
    <w:p w:rsidR="00BD57AE" w:rsidRDefault="00BD57AE" w:rsidP="00BD57AE">
      <w:pPr>
        <w:numPr>
          <w:ilvl w:val="0"/>
          <w:numId w:val="6"/>
        </w:numPr>
        <w:autoSpaceDE w:val="0"/>
        <w:autoSpaceDN w:val="0"/>
        <w:adjustRightInd w:val="0"/>
        <w:jc w:val="both"/>
        <w:rPr>
          <w:iCs/>
        </w:rPr>
      </w:pPr>
      <w:r>
        <w:rPr>
          <w:iCs/>
        </w:rPr>
        <w:lastRenderedPageBreak/>
        <w:t xml:space="preserve">Táto zmluva nadobúda platnosť podpisom zmluvných strán a </w:t>
      </w:r>
      <w:r>
        <w:rPr>
          <w:b/>
          <w:iCs/>
        </w:rPr>
        <w:t>účinnosť</w:t>
      </w:r>
      <w:r>
        <w:rPr>
          <w:iCs/>
        </w:rPr>
        <w:t xml:space="preserve"> dňom </w:t>
      </w:r>
      <w:r>
        <w:rPr>
          <w:b/>
          <w:iCs/>
        </w:rPr>
        <w:t>01.01.2020</w:t>
      </w:r>
      <w:bookmarkStart w:id="22" w:name="_GoBack"/>
      <w:bookmarkEnd w:id="22"/>
      <w:r>
        <w:rPr>
          <w:iCs/>
        </w:rPr>
        <w:t xml:space="preserve">. </w:t>
      </w:r>
    </w:p>
    <w:p w:rsidR="00BD57AE" w:rsidRDefault="00BD57AE" w:rsidP="00BD57AE">
      <w:pPr>
        <w:numPr>
          <w:ilvl w:val="0"/>
          <w:numId w:val="6"/>
        </w:numPr>
        <w:jc w:val="both"/>
      </w:pPr>
      <w:r>
        <w:t xml:space="preserve">Zmluvné strany vyhlasujú, že majú plnú spôsobilosť na právne úkony, sú oprávnení nakladať s predmetom zmluvy a ich zmluvná voľnosť nie je obmedzená. S obsahom zmluvy súhlasia, túto uzavreli slobodne a vážne, určite a zrozumiteľne, zmluva nebola uzavretá za podmienok obzvlášť nevýhodných pre jednu zo zmluvných strán ani pod nátlakom. Na vyjadrenie bezvýhradného súhlasu so všetkými ustanoveniami zmluvu vlastnoručne podpísali. </w:t>
      </w:r>
    </w:p>
    <w:p w:rsidR="00BD57AE" w:rsidRDefault="00BD57AE" w:rsidP="00BD57AE">
      <w:pPr>
        <w:jc w:val="both"/>
      </w:pPr>
    </w:p>
    <w:p w:rsidR="00BD57AE" w:rsidRDefault="00BD57AE" w:rsidP="00BD57AE">
      <w:pPr>
        <w:jc w:val="both"/>
      </w:pPr>
    </w:p>
    <w:p w:rsidR="00BD57AE" w:rsidRDefault="00BD57AE" w:rsidP="00BD57AE">
      <w:pPr>
        <w:jc w:val="both"/>
      </w:pPr>
    </w:p>
    <w:p w:rsidR="00BD57AE" w:rsidRDefault="00BD57AE" w:rsidP="00BD57AE">
      <w:pPr>
        <w:pStyle w:val="Zkladntext"/>
      </w:pPr>
      <w:r>
        <w:t>V Lučatíne,  dňa ..................</w:t>
      </w:r>
    </w:p>
    <w:p w:rsidR="00BD57AE" w:rsidRDefault="00BD57AE" w:rsidP="00BD57AE">
      <w:pPr>
        <w:jc w:val="both"/>
      </w:pPr>
    </w:p>
    <w:p w:rsidR="00BD57AE" w:rsidRDefault="00BD57AE" w:rsidP="00BD57AE">
      <w:pPr>
        <w:jc w:val="both"/>
      </w:pPr>
    </w:p>
    <w:p w:rsidR="00BD57AE" w:rsidRDefault="00BD57AE" w:rsidP="00BD57AE">
      <w:pPr>
        <w:jc w:val="both"/>
      </w:pPr>
    </w:p>
    <w:p w:rsidR="00BD57AE" w:rsidRDefault="00BD57AE" w:rsidP="00BD57AE">
      <w:pPr>
        <w:jc w:val="both"/>
      </w:pPr>
      <w:r>
        <w:t>..............................................                                                          ...........................................</w:t>
      </w:r>
    </w:p>
    <w:p w:rsidR="00BD57AE" w:rsidRDefault="00BD57AE" w:rsidP="00BD57AE">
      <w:pPr>
        <w:jc w:val="both"/>
      </w:pPr>
      <w:r>
        <w:t xml:space="preserve">           Prenajímateľ:                                                                                       Nájomca:                      </w:t>
      </w:r>
    </w:p>
    <w:p w:rsidR="00BD57AE" w:rsidRDefault="00BD57AE" w:rsidP="00BD57AE">
      <w:pPr>
        <w:jc w:val="both"/>
      </w:pPr>
    </w:p>
    <w:p w:rsidR="00BD57AE" w:rsidRDefault="00BD57AE" w:rsidP="00BD57AE">
      <w:pPr>
        <w:jc w:val="both"/>
      </w:pPr>
    </w:p>
    <w:p w:rsidR="00BD57AE" w:rsidRDefault="00BD57AE" w:rsidP="00BD57AE">
      <w:pPr>
        <w:jc w:val="both"/>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BD57AE" w:rsidRDefault="00BD57AE" w:rsidP="00BD57AE">
      <w:pPr>
        <w:jc w:val="both"/>
        <w:rPr>
          <w:b/>
          <w:color w:val="FF0000"/>
          <w:sz w:val="28"/>
          <w:szCs w:val="28"/>
        </w:rPr>
      </w:pPr>
    </w:p>
    <w:p w:rsidR="00CE3090" w:rsidRDefault="00CE3090"/>
    <w:sectPr w:rsidR="00CE3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0AC"/>
    <w:multiLevelType w:val="hybridMultilevel"/>
    <w:tmpl w:val="777C7582"/>
    <w:lvl w:ilvl="0" w:tplc="34E0D47E">
      <w:start w:val="1"/>
      <w:numFmt w:val="decimal"/>
      <w:lvlText w:val="%1."/>
      <w:lvlJc w:val="left"/>
      <w:pPr>
        <w:tabs>
          <w:tab w:val="num" w:pos="660"/>
        </w:tabs>
        <w:ind w:left="660" w:hanging="360"/>
      </w:pPr>
    </w:lvl>
    <w:lvl w:ilvl="1" w:tplc="041B0019">
      <w:start w:val="1"/>
      <w:numFmt w:val="lowerLetter"/>
      <w:lvlText w:val="%2."/>
      <w:lvlJc w:val="left"/>
      <w:pPr>
        <w:tabs>
          <w:tab w:val="num" w:pos="1380"/>
        </w:tabs>
        <w:ind w:left="1380" w:hanging="360"/>
      </w:p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lvl>
    <w:lvl w:ilvl="4" w:tplc="041B0019">
      <w:start w:val="1"/>
      <w:numFmt w:val="lowerLetter"/>
      <w:lvlText w:val="%5."/>
      <w:lvlJc w:val="left"/>
      <w:pPr>
        <w:tabs>
          <w:tab w:val="num" w:pos="3540"/>
        </w:tabs>
        <w:ind w:left="3540" w:hanging="360"/>
      </w:pPr>
    </w:lvl>
    <w:lvl w:ilvl="5" w:tplc="041B001B">
      <w:start w:val="1"/>
      <w:numFmt w:val="lowerRoman"/>
      <w:lvlText w:val="%6."/>
      <w:lvlJc w:val="right"/>
      <w:pPr>
        <w:tabs>
          <w:tab w:val="num" w:pos="4260"/>
        </w:tabs>
        <w:ind w:left="4260" w:hanging="180"/>
      </w:pPr>
    </w:lvl>
    <w:lvl w:ilvl="6" w:tplc="041B000F">
      <w:start w:val="1"/>
      <w:numFmt w:val="decimal"/>
      <w:lvlText w:val="%7."/>
      <w:lvlJc w:val="left"/>
      <w:pPr>
        <w:tabs>
          <w:tab w:val="num" w:pos="4980"/>
        </w:tabs>
        <w:ind w:left="4980" w:hanging="360"/>
      </w:pPr>
    </w:lvl>
    <w:lvl w:ilvl="7" w:tplc="041B0019">
      <w:start w:val="1"/>
      <w:numFmt w:val="lowerLetter"/>
      <w:lvlText w:val="%8."/>
      <w:lvlJc w:val="left"/>
      <w:pPr>
        <w:tabs>
          <w:tab w:val="num" w:pos="5700"/>
        </w:tabs>
        <w:ind w:left="5700" w:hanging="360"/>
      </w:pPr>
    </w:lvl>
    <w:lvl w:ilvl="8" w:tplc="041B001B">
      <w:start w:val="1"/>
      <w:numFmt w:val="lowerRoman"/>
      <w:lvlText w:val="%9."/>
      <w:lvlJc w:val="right"/>
      <w:pPr>
        <w:tabs>
          <w:tab w:val="num" w:pos="6420"/>
        </w:tabs>
        <w:ind w:left="6420" w:hanging="180"/>
      </w:pPr>
    </w:lvl>
  </w:abstractNum>
  <w:abstractNum w:abstractNumId="1" w15:restartNumberingAfterBreak="0">
    <w:nsid w:val="0A075999"/>
    <w:multiLevelType w:val="hybridMultilevel"/>
    <w:tmpl w:val="9708B580"/>
    <w:lvl w:ilvl="0" w:tplc="ED36CA04">
      <w:start w:val="1"/>
      <w:numFmt w:val="decimal"/>
      <w:lvlText w:val="%1."/>
      <w:lvlJc w:val="left"/>
      <w:pPr>
        <w:tabs>
          <w:tab w:val="num" w:pos="700"/>
        </w:tabs>
        <w:ind w:left="0" w:firstLine="340"/>
      </w:pPr>
    </w:lvl>
    <w:lvl w:ilvl="1" w:tplc="041B0019">
      <w:start w:val="1"/>
      <w:numFmt w:val="lowerLetter"/>
      <w:lvlText w:val="%2."/>
      <w:lvlJc w:val="left"/>
      <w:pPr>
        <w:tabs>
          <w:tab w:val="num" w:pos="1380"/>
        </w:tabs>
        <w:ind w:left="1380" w:hanging="360"/>
      </w:p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lvl>
    <w:lvl w:ilvl="4" w:tplc="041B0019">
      <w:start w:val="1"/>
      <w:numFmt w:val="lowerLetter"/>
      <w:lvlText w:val="%5."/>
      <w:lvlJc w:val="left"/>
      <w:pPr>
        <w:tabs>
          <w:tab w:val="num" w:pos="3540"/>
        </w:tabs>
        <w:ind w:left="3540" w:hanging="360"/>
      </w:pPr>
    </w:lvl>
    <w:lvl w:ilvl="5" w:tplc="041B001B">
      <w:start w:val="1"/>
      <w:numFmt w:val="lowerRoman"/>
      <w:lvlText w:val="%6."/>
      <w:lvlJc w:val="right"/>
      <w:pPr>
        <w:tabs>
          <w:tab w:val="num" w:pos="4260"/>
        </w:tabs>
        <w:ind w:left="4260" w:hanging="180"/>
      </w:pPr>
    </w:lvl>
    <w:lvl w:ilvl="6" w:tplc="041B000F">
      <w:start w:val="1"/>
      <w:numFmt w:val="decimal"/>
      <w:lvlText w:val="%7."/>
      <w:lvlJc w:val="left"/>
      <w:pPr>
        <w:tabs>
          <w:tab w:val="num" w:pos="4980"/>
        </w:tabs>
        <w:ind w:left="4980" w:hanging="360"/>
      </w:pPr>
    </w:lvl>
    <w:lvl w:ilvl="7" w:tplc="041B0019">
      <w:start w:val="1"/>
      <w:numFmt w:val="lowerLetter"/>
      <w:lvlText w:val="%8."/>
      <w:lvlJc w:val="left"/>
      <w:pPr>
        <w:tabs>
          <w:tab w:val="num" w:pos="5700"/>
        </w:tabs>
        <w:ind w:left="5700" w:hanging="360"/>
      </w:pPr>
    </w:lvl>
    <w:lvl w:ilvl="8" w:tplc="041B001B">
      <w:start w:val="1"/>
      <w:numFmt w:val="lowerRoman"/>
      <w:lvlText w:val="%9."/>
      <w:lvlJc w:val="right"/>
      <w:pPr>
        <w:tabs>
          <w:tab w:val="num" w:pos="6420"/>
        </w:tabs>
        <w:ind w:left="6420" w:hanging="180"/>
      </w:pPr>
    </w:lvl>
  </w:abstractNum>
  <w:abstractNum w:abstractNumId="2" w15:restartNumberingAfterBreak="0">
    <w:nsid w:val="1271227E"/>
    <w:multiLevelType w:val="hybridMultilevel"/>
    <w:tmpl w:val="D11E1E86"/>
    <w:lvl w:ilvl="0" w:tplc="2416AE08">
      <w:start w:val="1"/>
      <w:numFmt w:val="decimal"/>
      <w:lvlText w:val="%1."/>
      <w:lvlJc w:val="left"/>
      <w:pPr>
        <w:tabs>
          <w:tab w:val="num" w:pos="700"/>
        </w:tabs>
        <w:ind w:left="0" w:firstLine="34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286A1519"/>
    <w:multiLevelType w:val="hybridMultilevel"/>
    <w:tmpl w:val="55400C94"/>
    <w:lvl w:ilvl="0" w:tplc="6FE62450">
      <w:start w:val="1"/>
      <w:numFmt w:val="decimal"/>
      <w:lvlText w:val="%1."/>
      <w:lvlJc w:val="left"/>
      <w:pPr>
        <w:tabs>
          <w:tab w:val="num" w:pos="1020"/>
        </w:tabs>
        <w:ind w:left="1020" w:hanging="6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2DAC597A"/>
    <w:multiLevelType w:val="hybridMultilevel"/>
    <w:tmpl w:val="A79A5676"/>
    <w:lvl w:ilvl="0" w:tplc="A732DB3C">
      <w:start w:val="1"/>
      <w:numFmt w:val="decimal"/>
      <w:lvlText w:val="%1."/>
      <w:lvlJc w:val="left"/>
      <w:pPr>
        <w:tabs>
          <w:tab w:val="num" w:pos="700"/>
        </w:tabs>
        <w:ind w:left="0" w:firstLine="34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688F7712"/>
    <w:multiLevelType w:val="hybridMultilevel"/>
    <w:tmpl w:val="53FC575C"/>
    <w:lvl w:ilvl="0" w:tplc="F19C9780">
      <w:start w:val="1"/>
      <w:numFmt w:val="decimal"/>
      <w:lvlText w:val="%1."/>
      <w:lvlJc w:val="left"/>
      <w:pPr>
        <w:tabs>
          <w:tab w:val="num" w:pos="700"/>
        </w:tabs>
        <w:ind w:left="0" w:firstLine="34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AE"/>
    <w:rsid w:val="00BD57AE"/>
    <w:rsid w:val="00CE30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6B073-C571-4DCB-958E-D2AC54B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57A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D57AE"/>
    <w:pPr>
      <w:keepNext/>
      <w:jc w:val="center"/>
      <w:outlineLvl w:val="0"/>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D57AE"/>
    <w:rPr>
      <w:rFonts w:ascii="Times New Roman" w:eastAsia="Times New Roman" w:hAnsi="Times New Roman" w:cs="Times New Roman"/>
      <w:sz w:val="28"/>
      <w:szCs w:val="24"/>
      <w:lang w:eastAsia="sk-SK"/>
    </w:rPr>
  </w:style>
  <w:style w:type="paragraph" w:styleId="Nzov">
    <w:name w:val="Title"/>
    <w:basedOn w:val="Normlny"/>
    <w:link w:val="NzovChar"/>
    <w:qFormat/>
    <w:rsid w:val="00BD57AE"/>
    <w:pPr>
      <w:jc w:val="center"/>
    </w:pPr>
    <w:rPr>
      <w:sz w:val="28"/>
    </w:rPr>
  </w:style>
  <w:style w:type="character" w:customStyle="1" w:styleId="NzovChar">
    <w:name w:val="Názov Char"/>
    <w:basedOn w:val="Predvolenpsmoodseku"/>
    <w:link w:val="Nzov"/>
    <w:rsid w:val="00BD57AE"/>
    <w:rPr>
      <w:rFonts w:ascii="Times New Roman" w:eastAsia="Times New Roman" w:hAnsi="Times New Roman" w:cs="Times New Roman"/>
      <w:sz w:val="28"/>
      <w:szCs w:val="24"/>
      <w:lang w:eastAsia="sk-SK"/>
    </w:rPr>
  </w:style>
  <w:style w:type="paragraph" w:styleId="Zkladntext">
    <w:name w:val="Body Text"/>
    <w:basedOn w:val="Normlny"/>
    <w:link w:val="ZkladntextChar"/>
    <w:semiHidden/>
    <w:unhideWhenUsed/>
    <w:rsid w:val="00BD57AE"/>
    <w:pPr>
      <w:jc w:val="both"/>
    </w:pPr>
  </w:style>
  <w:style w:type="character" w:customStyle="1" w:styleId="ZkladntextChar">
    <w:name w:val="Základný text Char"/>
    <w:basedOn w:val="Predvolenpsmoodseku"/>
    <w:link w:val="Zkladntext"/>
    <w:semiHidden/>
    <w:rsid w:val="00BD57A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BD57AE"/>
    <w:rPr>
      <w:color w:val="0000FF"/>
      <w:u w:val="single"/>
    </w:rPr>
  </w:style>
  <w:style w:type="paragraph" w:styleId="Textbubliny">
    <w:name w:val="Balloon Text"/>
    <w:basedOn w:val="Normlny"/>
    <w:link w:val="TextbublinyChar"/>
    <w:uiPriority w:val="99"/>
    <w:semiHidden/>
    <w:unhideWhenUsed/>
    <w:rsid w:val="00BD57AE"/>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57A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fZzSRInternal('34606',%20'5691724',%20'5691724',%20'5438524',%20'5438536',%20'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1334</Words>
  <Characters>7610</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Blanka</dc:creator>
  <cp:keywords/>
  <dc:description/>
  <cp:lastModifiedBy>LUPTÁKOVÁ Blanka</cp:lastModifiedBy>
  <cp:revision>1</cp:revision>
  <cp:lastPrinted>2019-03-25T14:31:00Z</cp:lastPrinted>
  <dcterms:created xsi:type="dcterms:W3CDTF">2019-03-25T14:24:00Z</dcterms:created>
  <dcterms:modified xsi:type="dcterms:W3CDTF">2019-03-25T14:31:00Z</dcterms:modified>
</cp:coreProperties>
</file>